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/>
    <w:p/>
    <w:p>
      <w:pPr>
        <w:spacing w:after="120" w:before="120"/>
        <w:jc w:val="center"/>
      </w:pPr>
      <w:r>
        <w:rPr>
          <w:rFonts w:ascii="宋体" w:cs="宋体" w:eastAsia="宋体" w:hAnsi="宋体"/>
          <w:b/>
          <w:bCs/>
          <w:sz w:val="44"/>
          <w:szCs w:val="44"/>
        </w:rPr>
        <w:t xml:space="preserve">人工智能时代下的设计美学</w:t>
      </w:r>
    </w:p>
    <w:p>
      <w:pPr>
        <w:spacing w:after="320" w:before="0"/>
        <w:jc w:val="center"/>
      </w:pPr>
      <w:r>
        <w:rPr>
          <w:rFonts w:ascii="宋体" w:cs="宋体" w:eastAsia="宋体" w:hAnsi="宋体"/>
          <w:sz w:val="24"/>
          <w:szCs w:val="24"/>
        </w:rPr>
        <w:t xml:space="preserve">——理论流变、方法论转向与实践范式研究</w:t>
      </w:r>
    </w:p>
    <w:p/>
    <w:p/>
    <w:p>
      <w:pPr>
        <w:spacing w:after="200" w:before="600"/>
        <w:jc w:val="center"/>
      </w:pPr>
      <w:r>
        <w:rPr>
          <w:b/>
          <w:bCs/>
          <w:sz w:val="32"/>
          <w:szCs w:val="32"/>
        </w:rPr>
        <w:t xml:space="preserve">（论文初稿框架）</w:t>
      </w:r>
    </w:p>
    <w:p/>
    <w:p/>
    <w:p/>
    <w:p>
      <w:pPr>
        <w:spacing w:before="400"/>
        <w:jc w:val="center"/>
      </w:pPr>
      <w:r>
        <w:rPr>
          <w:sz w:val="26"/>
          <w:szCs w:val="26"/>
        </w:rPr>
        <w:t xml:space="preserve">研究方向：设计学 / 人工智能美学</w:t>
      </w:r>
    </w:p>
    <w:p>
      <w:pPr>
        <w:jc w:val="center"/>
      </w:pPr>
      <w:r>
        <w:rPr>
          <w:sz w:val="26"/>
          <w:szCs w:val="26"/>
        </w:rPr>
        <w:t xml:space="preserve">日期：2026年7月</w:t>
      </w:r>
    </w:p>
    <w:p>
      <w:r>
        <w:br w:type="page"/>
      </w:r>
    </w:p>
    <w:p>
      <w:pPr>
        <w:spacing w:after="120" w:before="120"/>
        <w:jc w:val="center"/>
      </w:pPr>
      <w:r>
        <w:rPr>
          <w:rFonts w:ascii="宋体" w:cs="宋体" w:eastAsia="宋体" w:hAnsi="宋体"/>
          <w:b/>
          <w:bCs/>
          <w:sz w:val="32"/>
          <w:szCs w:val="32"/>
        </w:rPr>
        <w:t xml:space="preserve">摘 要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随着ChatGPT、Midjourney、Stable Diffusion、Sora等生成式人工智能的爆发，设计领域正经历从"人—工具"二元结构向"人—机"共生结构的范式跃迁，设计美学的认知基础、评价标准与价值取向面临深刻重塑。本文以2020—2025年中英文核心文献为对象，构建"理论—方法—实践"三维分析框架，系统梳理AI设计美学的理论谱系（计算美学、人工智能美学、接受美学、人机共生创造力、后人类美学）、方法论转向（生成对抗网络、扩散模型、美学质量评估、情感计算、文化驱动生成）与实践范式演进。研究发现：（1）AI设计的主体性与情感性在弱人工智能阶段是有限度的，但生成式AI已具备可验证的内在创造力；（2）数据驱动正推动美学标准从"固定规范"走向"动态调适"，亟需在个性化与普适化间寻求平衡；（3）审美异化与文化侵蚀风险凸显，"工具性与价值性"的统一成为核心命题；（4）"人机协同增强、文化基因驱动"是本土化AI设计美学的发展方向。研究为构建中国话语体系的AI设计美学理论、指导AIGC设计实践与伦理治理提供了学理支撑。</w:t>
      </w:r>
    </w:p>
    <w:p/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b/>
          <w:bCs/>
          <w:sz w:val="24"/>
          <w:szCs w:val="24"/>
        </w:rPr>
        <w:t xml:space="preserve">关键词：</w:t>
      </w:r>
      <w:r>
        <w:rPr>
          <w:rFonts w:ascii="宋体" w:cs="宋体" w:eastAsia="宋体" w:hAnsi="宋体"/>
          <w:sz w:val="24"/>
          <w:szCs w:val="24"/>
        </w:rPr>
        <w:t xml:space="preserve">人工智能；设计美学；生成式AI；计算美学；人机共创；审美主体性；AIGC</w:t>
      </w:r>
    </w:p>
    <w:p/>
    <w:p>
      <w:pPr>
        <w:spacing w:after="200" w:before="200"/>
        <w:jc w:val="center"/>
      </w:pPr>
      <w:r>
        <w:rPr>
          <w:i/>
          <w:iCs/>
          <w:color w:val="888888"/>
          <w:sz w:val="20"/>
          <w:szCs w:val="20"/>
        </w:rPr>
        <w:t xml:space="preserve">（自动生成目录请于Word中插入）</w:t>
      </w:r>
    </w:p>
    <w:p>
      <w:r>
        <w:br w:type="page"/>
      </w:r>
    </w:p>
    <w:p>
      <w:pPr>
        <w:pStyle w:val="Heading1"/>
        <w:spacing w:after="200" w:before="360"/>
        <w:jc w:val="left"/>
      </w:pPr>
      <w:r>
        <w:rPr>
          <w:rFonts w:ascii="宋体" w:cs="宋体" w:eastAsia="宋体" w:hAnsi="宋体"/>
          <w:b/>
          <w:bCs/>
          <w:sz w:val="32"/>
          <w:szCs w:val="32"/>
        </w:rPr>
        <w:t xml:space="preserve">第一章 绪论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1.1 研究背景与问题提出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2022年末以来，以大语言模型与扩散模型为代表的生成式人工智能（Generative AI / AIGC）实现了从"感知"到"生成"的跨越，机器首次能以低门槛、大规模、高质量方式产出文本、图像、视频与设计作品。设计的生产方式、审美逻辑与价值结构随之重构。然而，"AI能否真正创造美""算法生成作品是否具有主体性与情感性""数据驱动的美学标准是否导致审美均质化"等议题悬而未决。本文的核心问题是：人工智能时代下，设计美学的理论谱系如何演进？其方法论发生了怎样的转向？应构建怎样的本土化实践范式？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1.2 研究目的与意义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研究目的在于系统梳理近五年中英文核心文献，构建AI设计美学"理论—方法—实践"三维分析框架，辨析其主体性、情感性与伦理风险，并提出本土化发展路径。理论意义在于丰富人工智能美学谱系、弥合计算美学与认知美学鸿沟；现实意义在于为AIGC设计教育、文创产业、版权认定与伦理治理提供指引。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1.3 国内外研究现状概述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国外方面，计算美学（Birkhoff→Bense/Moles→当代）与图像美学质量评估（IAQA）已形成成熟方法论体系；Haase等（2024）提出人机共生创造力四级模型；AIART系列会议（2019—2026）成为AI艺术创作与理解的国际学术平台。国内方面，陶锋系列论文奠定"人工智能美学"理论基石，吴冠军（2024）提出"美学革命"命题，覃京燕（2019）、顾亚奇（2021、2023）等从审美意识、认知传播切入；近年AIGC中式美学、非遗数字化等研究涌现，呈现"理论—方法—文化"并进格局。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1.4 研究方法与论文结构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综合运用文献研究、文献计量（CiteSpace）、比较研究、案例分析与跨学科综合法。全文共六章：第一章绪论；第二章核心概念与理论基础；第三章文献综述；第四章研究设计；第五章案例分析与讨论；第六章结论与展望。</w:t>
      </w:r>
    </w:p>
    <w:p>
      <w:r>
        <w:br w:type="page"/>
      </w:r>
    </w:p>
    <w:p>
      <w:pPr>
        <w:pStyle w:val="Heading1"/>
        <w:spacing w:after="200" w:before="360"/>
        <w:jc w:val="left"/>
      </w:pPr>
      <w:r>
        <w:rPr>
          <w:rFonts w:ascii="宋体" w:cs="宋体" w:eastAsia="宋体" w:hAnsi="宋体"/>
          <w:b/>
          <w:bCs/>
          <w:sz w:val="32"/>
          <w:szCs w:val="32"/>
        </w:rPr>
        <w:t xml:space="preserve">第二章 核心概念与理论基础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2.1 核心概念界定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2.1.1 人工智能设计（AI Design）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指以人工智能算法（机器学习、深度学习、生成模型）参与或主导的设计活动，涵盖辅助生成、风格迁移、自动排版、智能配色、个性化适配等。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2.1.2 生成式人工智能（AIGC）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指通过训练数据学习分布并生成新内容的AI技术总称，核心模型包括GAN、VAE、扩散模型及多模态大模型。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2.1.3 计算美学（Computational Aesthetics）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人工智能的分支，以数学公式与算法对人类创造物进行审美度量的量化评估，源自Birkhoff的 M=O/C 公式（Britannica, 2026）。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2.1.4 设计美学（Design Aesthetics）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研究设计活动中"美"的生成、感知与评价的学科，涵盖形式美、功能美、语义美与体验美等维度。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2.2 理论基础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2.2.1 计算美学与信息美学理论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Birkhoff审美度量公式、Bense与Moles的信息美学、Berlyne的新实验美学，为AI设计美学提供量化认识论（张康, AIART 2026）。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2.2.2 人工智能美学（AI Aesthetics）理论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陶锋（2018、2022、2023）提出"人工智能美学"概念，探讨其可能性、审美理性及设计与理性的辩证关系。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2.2.3 接受美学与符号学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姚斯"期待视野"理论论证AI作品处于人类审美期待之中（王兴珍, 2023）；苏珊·朗格"情感符号形式"、贝尔"有意味的形式"阐释AI作品的情感转移机制。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2.2.4 人机共生创造力理论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Haase等（2024）的四级模型与耿弘明（2022）"分布式人机共生创造力"概念，论证AI是创造力的"媒介"而非"替代品"。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2.2.5 后人类美学与环境适应美学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Hayles后人类思想作为强AI时代的审美预判；环境适应美学强调作品随场景动态调适，构成智能化时代新范式。</w:t>
      </w:r>
    </w:p>
    <w:p>
      <w:r>
        <w:br w:type="page"/>
      </w:r>
    </w:p>
    <w:p>
      <w:pPr>
        <w:pStyle w:val="Heading1"/>
        <w:spacing w:after="200" w:before="360"/>
        <w:jc w:val="left"/>
      </w:pPr>
      <w:r>
        <w:rPr>
          <w:rFonts w:ascii="宋体" w:cs="宋体" w:eastAsia="宋体" w:hAnsi="宋体"/>
          <w:b/>
          <w:bCs/>
          <w:sz w:val="32"/>
          <w:szCs w:val="32"/>
        </w:rPr>
        <w:t xml:space="preserve">第三章 文献综述：理论·方法·结论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本章基于近5年（2020—2025）中英文核心文献，按理论、方法、结论三维梳理，并以矩阵表呈现核心文献概览。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3.1 理论维度的梳理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3.1.1 计算美学的量化传统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从Birkhoff到当代，计算美学旨在用算法逼近乃至超越人类专家的审美判断（Britannica, 2026）。张康以视觉语言定义生成艺术，明确艺术家与生成系统的角色分工，为AI设计美学奠基。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3.1.2 人工智能美学的建构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陶锋系列论文构建了"可能性—审美理性—设计反思"的递进议题；吴冠军（2024）将Midjourney至Sora的演进概括为"美学革命"，强调多模态生成触发审美范式跃迁。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3.1.3 主体性与情感性之争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王兴珍（2023）论证AI艺术设计的主体性源于人类资料库与期待视野，但受限于高理性；Haase等（2024）以实证反驳，证明生成式AI在标准创造力测试中可匹配甚至超越人类。《AIGC时代设计审美主体性的困境与重构》（2026）以康德美学为根基，主张审美主体性需在人机协作的社会化实践中重构。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3.1.4 人机共生创造力的提出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Haase等（2024）划分四级：数字笔→AI任务专家→AI助手→AI共创者，论证AI共创者可独立产生"非直觉"创新方案。该理论与MAYA（Most Advanced Yet Acceptable）原则共同构成实践哲学基础。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3.1.5 理论演进逻辑小结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理论脉络呈现"量化计算→哲学建构→主体性辨析→共生共创"的递进，从"机器能否审美"的本体追问走向"人机如何共创"的实践建构。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3.2 方法维度的梳理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3.2.1 生成模型方法演进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GAN/CAN（Elgammal, 2017）→VAE→扩散模型（DDPM/Stable Diffusion）→多模态大模型。Elgammal的CAN通过修改损失函数弥补GAN创造性不足；扩散模型以去噪过程实现高质量生成。崔昊、刘闻名（2024）概括为"工具性与价值性"双重面向。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3.2.2 图像美学质量评估（IAQA）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ACM Computing Surveys（2025）综述：深度学习IAQA近十年最大准确率91.5%，方法分通用型与任务特定型，输出评分/分布/属性/描述。Google NIMA基于MobileNet与EMD损失，AVA数据集LCC达0.626。PMC（2026）将认知心理学操作化为AI评估模型，弥合计算美学与认知心理学鸿沟。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3.2.3 情感计算与多模态方法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情感计算使AI分析用户情绪并动态调整视觉表达。多模态大语言模型（MLLM）与具身智能推动AI从感知走向创造（AIART 2026）。意图驱动界面交互范式（刘玉磊等, 2024）探索生成式AI的交互新方法。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3.2.4 文献计量方法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CiteSpace知识图谱与共被引分析揭示研究热点与前沿演进（《生成式人工智能赋能艺术设计研究述评》, 2025；汤永川等, 2020）。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3.2.5 文化驱动的可控生成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宋玉等（2023）建立中式美学AIGC定制路径，解决传统美学与AIGC的"审美边界"问题；于鹏等（2024）苗族服饰范式；侯云鹏等（2024）LoRA楚漆器非遗数字化。强调"文化基因"驱动的可控生成。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3.3 结论维度的梳理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3.3.1 主体性有限论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主流观点：弱AI阶段AI主体性有限（王兴珍, 2023）；乐观派实证证明AI内在创造力（Haase等, 2024）。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3.3.2 人机协作共识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未来方向是"增强而非替代"人类创造力（Anantrasirichai &amp; Bull, 2022；卢兆麟等, 2023）。中国传媒大学《龙门》、央视《千秋诗颂》等实践表明需建立"新技术形态下的新审美体系"。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3.3.3 审美异化与伦理风险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数据集偏见导致"审美均质化"与"文化侵蚀"（艺术史视角, 2026）；Bangle（2025）批判算法驱动的非人格化美学，主张"不完美亦可成为价值"。崔昊、刘闻名（2024）揭示工具性与价值性的审美选择困境。</w:t>
      </w:r>
    </w:p>
    <w:p>
      <w:pPr>
        <w:pStyle w:val="Heading3"/>
        <w:spacing w:after="120" w:before="220"/>
      </w:pPr>
      <w:r>
        <w:rPr>
          <w:rFonts w:ascii="宋体" w:cs="宋体" w:eastAsia="宋体" w:hAnsi="宋体"/>
          <w:b/>
          <w:bCs/>
          <w:sz w:val="26"/>
          <w:szCs w:val="26"/>
        </w:rPr>
        <w:t xml:space="preserve">3.3.4 数据驱动美学标准形成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美学标准从"固定规范"走向"动态调适"，个性化与普适化需在多元文化融合中平衡。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3.4 核心文献矩阵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100"/>
        <w:gridCol w:w="4260"/>
        <w:gridCol w:w="2200"/>
      </w:tblGrid>
      <w:tr>
        <w:trPr>
          <w:tblHeader/>
        </w:trPr>
        <w:tc>
          <w:tcPr>
            <w:tcW w:type="dxa" w:w="1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center"/>
            </w:pPr>
            <w:r>
              <w:rPr>
                <w:rFonts w:ascii="宋体" w:cs="宋体" w:eastAsia="宋体" w:hAnsi="宋体"/>
                <w:b/>
                <w:bCs/>
                <w:sz w:val="18"/>
                <w:szCs w:val="18"/>
              </w:rPr>
              <w:t xml:space="preserve">作者（年）</w:t>
            </w:r>
          </w:p>
        </w:tc>
        <w:tc>
          <w:tcPr>
            <w:tcW w:type="dxa" w:w="1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center"/>
            </w:pPr>
            <w:r>
              <w:rPr>
                <w:rFonts w:ascii="宋体" w:cs="宋体" w:eastAsia="宋体" w:hAnsi="宋体"/>
                <w:b/>
                <w:bCs/>
                <w:sz w:val="18"/>
                <w:szCs w:val="18"/>
              </w:rPr>
              <w:t xml:space="preserve">维度</w:t>
            </w:r>
          </w:p>
        </w:tc>
        <w:tc>
          <w:tcPr>
            <w:tcW w:type="dxa" w:w="42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center"/>
            </w:pPr>
            <w:r>
              <w:rPr>
                <w:rFonts w:ascii="宋体" w:cs="宋体" w:eastAsia="宋体" w:hAnsi="宋体"/>
                <w:b/>
                <w:bCs/>
                <w:sz w:val="18"/>
                <w:szCs w:val="18"/>
              </w:rPr>
              <w:t xml:space="preserve">核心观点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center"/>
            </w:pPr>
            <w:r>
              <w:rPr>
                <w:rFonts w:ascii="宋体" w:cs="宋体" w:eastAsia="宋体" w:hAnsi="宋体"/>
                <w:b/>
                <w:bCs/>
                <w:sz w:val="18"/>
                <w:szCs w:val="18"/>
              </w:rPr>
              <w:t xml:space="preserve">理论/方法贡献</w:t>
            </w:r>
          </w:p>
        </w:tc>
      </w:tr>
      <w:tr>
        <w:trPr>
          <w:tblHeader w:val="false"/>
        </w:trPr>
        <w:tc>
          <w:tcPr>
            <w:tcW w:type="dxa" w:w="1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陶锋等(2023)</w:t>
            </w:r>
          </w:p>
        </w:tc>
        <w:tc>
          <w:tcPr>
            <w:tcW w:type="dxa" w:w="1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理论</w:t>
            </w:r>
          </w:p>
        </w:tc>
        <w:tc>
          <w:tcPr>
            <w:tcW w:type="dxa" w:w="42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设计与理性的美学反思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建构AI美学反思框架</w:t>
            </w:r>
          </w:p>
        </w:tc>
      </w:tr>
      <w:tr>
        <w:trPr>
          <w:tblHeader w:val="false"/>
        </w:trPr>
        <w:tc>
          <w:tcPr>
            <w:tcW w:type="dxa" w:w="1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王兴珍(2023)</w:t>
            </w:r>
          </w:p>
        </w:tc>
        <w:tc>
          <w:tcPr>
            <w:tcW w:type="dxa" w:w="1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理论/结论</w:t>
            </w:r>
          </w:p>
        </w:tc>
        <w:tc>
          <w:tcPr>
            <w:tcW w:type="dxa" w:w="42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AI主体性与情感性有限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接受美学+符号学论证</w:t>
            </w:r>
          </w:p>
        </w:tc>
      </w:tr>
      <w:tr>
        <w:trPr>
          <w:tblHeader w:val="false"/>
        </w:trPr>
        <w:tc>
          <w:tcPr>
            <w:tcW w:type="dxa" w:w="1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Haase等(2024)</w:t>
            </w:r>
          </w:p>
        </w:tc>
        <w:tc>
          <w:tcPr>
            <w:tcW w:type="dxa" w:w="1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理论/方法</w:t>
            </w:r>
          </w:p>
        </w:tc>
        <w:tc>
          <w:tcPr>
            <w:tcW w:type="dxa" w:w="42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人机共生创造力四级模型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实证AI内在创造力</w:t>
            </w:r>
          </w:p>
        </w:tc>
      </w:tr>
      <w:tr>
        <w:trPr>
          <w:tblHeader w:val="false"/>
        </w:trPr>
        <w:tc>
          <w:tcPr>
            <w:tcW w:type="dxa" w:w="1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吴冠军(2024)</w:t>
            </w:r>
          </w:p>
        </w:tc>
        <w:tc>
          <w:tcPr>
            <w:tcW w:type="dxa" w:w="1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理论</w:t>
            </w:r>
          </w:p>
        </w:tc>
        <w:tc>
          <w:tcPr>
            <w:tcW w:type="dxa" w:w="42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生成式AI与美学革命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范式跃迁命题</w:t>
            </w:r>
          </w:p>
        </w:tc>
      </w:tr>
      <w:tr>
        <w:trPr>
          <w:tblHeader w:val="false"/>
        </w:trPr>
        <w:tc>
          <w:tcPr>
            <w:tcW w:type="dxa" w:w="1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ACM Survey(2025)</w:t>
            </w:r>
          </w:p>
        </w:tc>
        <w:tc>
          <w:tcPr>
            <w:tcW w:type="dxa" w:w="1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方法</w:t>
            </w:r>
          </w:p>
        </w:tc>
        <w:tc>
          <w:tcPr>
            <w:tcW w:type="dxa" w:w="42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IAQA深度学习综述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方法论分类体系</w:t>
            </w:r>
          </w:p>
        </w:tc>
      </w:tr>
      <w:tr>
        <w:trPr>
          <w:tblHeader w:val="false"/>
        </w:trPr>
        <w:tc>
          <w:tcPr>
            <w:tcW w:type="dxa" w:w="1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PMC(2026)</w:t>
            </w:r>
          </w:p>
        </w:tc>
        <w:tc>
          <w:tcPr>
            <w:tcW w:type="dxa" w:w="1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方法/结论</w:t>
            </w:r>
          </w:p>
        </w:tc>
        <w:tc>
          <w:tcPr>
            <w:tcW w:type="dxa" w:w="42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计算美学+认知心理学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弥合量化与质性鸿沟</w:t>
            </w:r>
          </w:p>
        </w:tc>
      </w:tr>
      <w:tr>
        <w:trPr>
          <w:tblHeader w:val="false"/>
        </w:trPr>
        <w:tc>
          <w:tcPr>
            <w:tcW w:type="dxa" w:w="1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宋玉等(2023)</w:t>
            </w:r>
          </w:p>
        </w:tc>
        <w:tc>
          <w:tcPr>
            <w:tcW w:type="dxa" w:w="1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方法</w:t>
            </w:r>
          </w:p>
        </w:tc>
        <w:tc>
          <w:tcPr>
            <w:tcW w:type="dxa" w:w="42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中式美学AIGC定制路径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文化驱动生成</w:t>
            </w:r>
          </w:p>
        </w:tc>
      </w:tr>
      <w:tr>
        <w:trPr>
          <w:tblHeader w:val="false"/>
        </w:trPr>
        <w:tc>
          <w:tcPr>
            <w:tcW w:type="dxa" w:w="18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崔昊等(2024)</w:t>
            </w:r>
          </w:p>
        </w:tc>
        <w:tc>
          <w:tcPr>
            <w:tcW w:type="dxa" w:w="11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结论</w:t>
            </w:r>
          </w:p>
        </w:tc>
        <w:tc>
          <w:tcPr>
            <w:tcW w:type="dxa" w:w="42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工具性与价值性双重面向</w:t>
            </w:r>
          </w:p>
        </w:tc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300"/>
              <w:jc w:val="left"/>
            </w:pPr>
            <w:r>
              <w:rPr>
                <w:rFonts w:ascii="宋体" w:cs="宋体" w:eastAsia="宋体" w:hAnsi="宋体"/>
                <w:b w:val="false"/>
                <w:bCs w:val="false"/>
                <w:sz w:val="18"/>
                <w:szCs w:val="18"/>
              </w:rPr>
              <w:t xml:space="preserve">审美选择困境</w:t>
            </w:r>
          </w:p>
        </w:tc>
      </w:tr>
    </w:tbl>
    <w:p>
      <w:r>
        <w:br w:type="page"/>
      </w:r>
    </w:p>
    <w:p>
      <w:pPr>
        <w:pStyle w:val="Heading1"/>
        <w:spacing w:after="200" w:before="360"/>
        <w:jc w:val="left"/>
      </w:pPr>
      <w:r>
        <w:rPr>
          <w:rFonts w:ascii="宋体" w:cs="宋体" w:eastAsia="宋体" w:hAnsi="宋体"/>
          <w:b/>
          <w:bCs/>
          <w:sz w:val="32"/>
          <w:szCs w:val="32"/>
        </w:rPr>
        <w:t xml:space="preserve">第四章 研究设计与方法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4.1 研究对象与文献来源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研究对象为2020—2025年（部分溯源至2018—2019奠基文献）人工智能与设计美学交叉领域的中英文核心文献。来源：CNKI、Web of Science、IEEE Xplore、ACM DL、arXiv、PMC。检索式示例："design aesthetics" AND ("artificial intelligence" OR "generative AI" OR "AIGC")。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4.2 分析框架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构建"理论—方法—实践"三维框架：理论维度追溯谱系与本体论争；方法维度归纳技术路径与方法论转向；实践维度聚焦案例与范式演进。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4.3 研究方法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文献研究法、文献计量法（CiteSpace）、比较研究法、案例分析法、跨学科综合法。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4.4 技术路线</w:t>
      </w:r>
    </w:p>
    <w:p>
      <w:pPr>
        <w:spacing w:after="0" w:before="0" w:line="360"/>
        <w:jc w:val="both"/>
      </w:pPr>
      <w:r>
        <w:rPr>
          <w:rFonts w:ascii="宋体" w:cs="宋体" w:eastAsia="宋体" w:hAnsi="宋体"/>
          <w:sz w:val="24"/>
          <w:szCs w:val="24"/>
        </w:rPr>
        <w:t xml:space="preserve">文献检索筛选 → 知识图谱 → 理论谱系梳理 → 方法论归纳 → 案例验证 → 结论与本土化路径</w:t>
      </w:r>
    </w:p>
    <w:p>
      <w:r>
        <w:br w:type="page"/>
      </w:r>
    </w:p>
    <w:p>
      <w:pPr>
        <w:pStyle w:val="Heading1"/>
        <w:spacing w:after="200" w:before="360"/>
        <w:jc w:val="left"/>
      </w:pPr>
      <w:r>
        <w:rPr>
          <w:rFonts w:ascii="宋体" w:cs="宋体" w:eastAsia="宋体" w:hAnsi="宋体"/>
          <w:b/>
          <w:bCs/>
          <w:sz w:val="32"/>
          <w:szCs w:val="32"/>
        </w:rPr>
        <w:t xml:space="preserve">第五章 案例分析与讨论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5.1 案例1：AIGC水墨动画《龙门》与传统审美转译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中国传媒大学DigiLab实验室开发原创生成式AI模型"墨池"（Inkstone），完成国内首部全AI水墨动画短片《龙门》，获巴西Tietê国际电影奖提名。该案例表明AIGC更善于丰富笔墨细节，需在拥抱新技术同时建立"新技术形态下的新审美体系"，实现水墨"意境/气韵"的数字化转译。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5.2 案例2：央视《千秋诗颂》与中国审美编码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基于央视听媒体大模型与上海AI实验室"书生"大模型，首部文生视频AI动画将古诗词转译为水墨国风，使AI"看懂"国风、唐代、写意、工笔等传统审美词汇，效率提升三倍。该案例体现"文化基因"驱动的可控生成路径。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5.3 案例3：AIGC游艇外观设计的评价标准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杨雪薇（2025）对DALL·E 3、Midjourney、Stable Diffusion等六款模型建立"模型表现+游艇美学"双维评价标准：DALL·E 3整体领先，Midjourney创新性突出，Stable Diffusion材质与可控性优异，验证了IAQA方法在工业设计中的应用。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5.4 案例4：中式美学AIGC文创设计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宋玉等（2023）建立中式美学AIGC定制路径，解决传统美学与AIGC大模型的"审美边界"问题，实现"虚实相生""气韵生动"等中华美学核心特质的数字化生成。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5.5 综合讨论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案例共同揭示：AI设计美学的实践已从"技术炫技"走向"文化自觉"，核心在于将不可量化的"意境/气韵"编码为可计算的"文化基因"，实现形式与精神、工具与价值的统一。</w:t>
      </w:r>
    </w:p>
    <w:p>
      <w:r>
        <w:br w:type="page"/>
      </w:r>
    </w:p>
    <w:p>
      <w:pPr>
        <w:pStyle w:val="Heading1"/>
        <w:spacing w:after="200" w:before="360"/>
        <w:jc w:val="left"/>
      </w:pPr>
      <w:r>
        <w:rPr>
          <w:rFonts w:ascii="宋体" w:cs="宋体" w:eastAsia="宋体" w:hAnsi="宋体"/>
          <w:b/>
          <w:bCs/>
          <w:sz w:val="32"/>
          <w:szCs w:val="32"/>
        </w:rPr>
        <w:t xml:space="preserve">第六章 结论与展望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6.1 主要结论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1. AI设计美学理论呈现"量化计算→哲学建构→主体性辨析→共生共创"递进逻辑。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2. 方法论发生从"参数化—生成式—多模态智能体"的转向，IAQA与情感计算成为支柱。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3. 弱AI阶段主体性有限，但生成式AI已具可验证内在创造力；人机协同增强而非替代是共识。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4. 审美异化与文化侵蚀风险凸显，"工具性与价值性"统一为核心命题。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5. "文化基因驱动的可控生成"是本土化AI设计美学的发展路径。</w:t>
      </w:r>
    </w:p>
    <w:p>
      <w:pPr>
        <w:pStyle w:val="Heading2"/>
        <w:spacing w:after="160" w:before="280"/>
      </w:pPr>
      <w:r>
        <w:rPr>
          <w:rFonts w:ascii="宋体" w:cs="宋体" w:eastAsia="宋体" w:hAnsi="宋体"/>
          <w:b/>
          <w:bCs/>
          <w:sz w:val="28"/>
          <w:szCs w:val="28"/>
        </w:rPr>
        <w:t xml:space="preserve">6.2 研究展望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未来研究可向以下方向拓展：强人工智能时代的审美预判；"意境/气韵"等非形式要素的计算编码；AI生成内容的版权与独创性评价标准；跨文化美学的算法融合；人机共创的伦理治理。</w:t>
      </w:r>
    </w:p>
    <w:p>
      <w:r>
        <w:br w:type="page"/>
      </w:r>
    </w:p>
    <w:p>
      <w:pPr>
        <w:pStyle w:val="Heading1"/>
        <w:spacing w:after="200" w:before="360"/>
        <w:jc w:val="left"/>
      </w:pPr>
      <w:r>
        <w:rPr>
          <w:rFonts w:ascii="宋体" w:cs="宋体" w:eastAsia="宋体" w:hAnsi="宋体"/>
          <w:b/>
          <w:bCs/>
          <w:sz w:val="32"/>
          <w:szCs w:val="32"/>
        </w:rPr>
        <w:t xml:space="preserve">参考文献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以下为核心参考文献（BibTeX 格式），可直接导入 LaTeX/BibTeX 工具。</w:t>
      </w:r>
    </w:p>
    <w:p/>
    <w:p>
      <w:pPr>
        <w:spacing w:after="120" w:before="0" w:line="280"/>
        <w:ind w:left="480"/>
      </w:pPr>
      <w:r>
        <w:rPr>
          <w:sz w:val="18"/>
          <w:szCs w:val="18"/>
        </w:rPr>
        <w:t xml:space="preserve">[1] @article{wang2023subjectivity,
  author  = {王兴珍},
  title   = {AI艺术设计的主体性和情感性研究},
  journal = {设计},
  year    = {2023},
  volume  = {8}, number = {4}, pages = {4095--4099},
  doi     = {10.12677/Design.2023.84502}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[2] @article{tao2023design,
  author  = {陶锋 and 梁正平},
  title   = {设计与理性：人工智能设计的美学反思},
  journal = {中国文艺评论}, year = {2023}, number = {10}, pages = {32--46}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[3] @article{tao2018possible,
  author  = {陶锋}, title = {人工智能美学如何可能},
  journal = {文艺争鸣}, year = {2018}, number = {5}, pages = {78--85}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[4] @article{tao2022rationality,
  author  = {陶锋}, title = {人工智能美学视域中的审美理性},
  journal = {文艺争鸣}, year = {2022}, number = {11}, pages = {163--170}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[5] @article{wu2024midjourney,
  author  = {吴冠军}, title = {从Midjourney到Sora：生成式AI与美学革命},
  journal = {阅江学刊}, year = {2024}, volume = {16}, number = {3}, pages = {85--92, 174}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[6] @article{liu2023generative,
  author  = {刘方喜}, title = {生成式人工智能：艺术机器大生产时代来临},
  journal = {文艺争鸣}, year = {2023}, number = {7}, pages = {59--67}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[7] @article{qin2019aesthetic,
  author  = {覃京燕}, title = {审美意识对人工智能与创新设计的影响研究},
  journal = {包装工程}, year = {2019}, volume = {40}, number = {4}, pages = {59--71}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[8] @article{gu2021meaningful,
  author  = {顾亚奇 and 王琳琳}, title = {有意义的控制：基于生成对抗网络的AI艺术及其交互方式},
  journal = {装饰}, year = {2021}, number = {8}, pages = {98--102}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[9] @article{gu2023embodiment,
  author  = {顾亚奇 and 王琳琳}, title = {具身、交互与创造力：认知传播视域下AI艺术的实践逻辑},
  journal = {中州学刊}, year = {2023}, number = {1}, pages = {170--176}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[10] @article{lu2023aigc,
  author  = {卢兆麟 and 宋新衡 and 金昱成}, title = {AIGC技术趋势下智能设计的现状与发展},
  journal = {包装工程}, year = {2023}, volume = {44}, number = {24}, pages = {18--33}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[11] @article{cui2024instrumentality,
  author  = {崔昊 and 刘闻名}, title = {工具性与价值性：AIGC艺术双重面向的审美选择},
  journal = {美术研究}, year = {2024}, number = {2}, pages = {118--121}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[12] @article{song2023chinese,
  author  = {宋玉 and 钦晓松 and 彭凌钰 and 叶紫寒 and 覃京燕}, title = {AIGC中式美学文创设计研究},
  journal = {包装工程}, year = {2023}, volume = {44}, number = {24}, pages = {1--8}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[13] @article{gao2023paradigm,
  author  = {高永杰 and 吕欣}, title = {生成式AI技术进化与图像艺术生产范式革新},
  journal = {现代传播（中国传媒大学学报）}, year = {2023}, volume = {45}, number = {9}, pages = {159--168}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[14] @article{liu2024intent,
  author  = {刘玉磊 and 马艳阳}, title = {面向生成式人工智能应用的意图驱动的界面交互范式探索},
  journal = {包装工程}, year = {2024}, volume = {45}, number = {4}, pages = {58--66}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[15] @article{ma2018challenge,
  author  = {马草}, title = {人工智能艺术的美学挑战},
  journal = {民族艺术研究}, year = {2018}, volume = {31}, number = {6}, pages = {90--97}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[16] @article{li2018replacement,
  author  = {李丰}, title = {人工智能与艺术创作——人工智能能够取代艺术家吗?},
  journal = {现代哲学}, year = {2018}, number = {6}, pages = {95--100}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[17] @article{zhao2020semiotic,
  author  = {赵毅衡}, title = {人工智能艺术的符号学研究},
  journal = {福建师范大学学报（哲学社会科学版）}, year = {2020}, number = {5}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[18] @article{tang2020review,
  author  = {Tang, Yong-chuan and Huang, Jiang-jie and Yao, Meng-ting and Wei, Jia and Li, Wei and He, Yong-xing and Li, Ze-jian},
  title   = {A Review of Design Intelligence: Progress, Problems, and Challenges},
  journal = {Frontiers of Information Technology \&amp; Electronic Engineering}, year = {2020}, volume = {20}, number = {12}, pages = {1617}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[19] @article{haase2024co,
  author  = {Haase, Jennifer and Pokutta, Sebastian}, title = {Human-AI Co-Creativity: Exploring Synergies Across Levels of Creative Automation},
  journal = {arXiv preprint arXiv:2411.12527}, year = {2024}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[20] @article{iaqa2025survey,
  author  = {{ACM Computing Surveys}}, title = {Deep Learning Based Image Aesthetic Quality Assessment: A Review},
  journal = {ACM Computing Surveys}, year = {2025}, volume = {57}, number = {7}, pages = {1--36}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[21] @article{pmc2026eval,
  author  = {{PMC}}, title = {An AI-Generated Art Evaluation Model That Integrates Computational Aesthetics and Cognitive Psychology},
  journal = {PMC}, year = {2026}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[22] @inproceedings{elgammal2017can,
  author    = {Elgammal, Ahmed and Liu, Bingchen and Elhoseiny, Mohamed and Mazzone, Marian},
  title     = {CAN: Creative Adversarial Networks, Generating ``Art'' by Learning About Styles and Deviating from Style Norms},
  booktitle = {arXiv preprint arXiv:1706.07068}, year = {2017}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[23] @inproceedings{anantrasirichai2022ai,
  author    = {Anantrasirichai, N and Bull, D}, title = {Artificial Intelligence in the Creative Industries},
  booktitle = {Neural Networks}, year = {2022}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[24] @article{britannica2026compaesth,
  author  = {Iqbal, Azlan}, title = {Computational Aesthetics},
  journal = {Encyclopaedia Britannica}, year = {2026}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[25] @article{subjectivity2026,
  author  = {{人文学刊编辑部}}, title = {AIGC时代设计审美主体性的困境与重构},
  journal = {人文学刊}, year = {2026}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[26] @article{review2025genai,
  author  = {{设计艺术研究编辑部}}, title = {生成式人工智能赋能艺术设计领域的研究述评与展望},
  journal = {设计艺术研究}, year = {2025}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[27] @article{yu2024miao,
  author  = {于鹏 and 张毅}, title = {从特征辨识到图像生成：基于AIGC范式的苗族服饰设计},
  journal = {丝绸}, year = {2024}, volume = {61}, number = {3}, pages = {1--10}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[28] @article{hou2024lora,
  author  = {侯云鹏 and 彭涵 and 刘育晖}, title = {基于LoRA模型的非遗数字化传承：以楚漆器为例},
  journal = {设计艺术研究}, year = {2024}, volume = {14}, number = {1}, pages = {14--18}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[29] @article{yang2025yacht,
  author  = {杨雪薇}, title = {AIGC模型生成游艇外观测试与评价研究},
  journal = {包装与设计}, year = {2025}, number = {1}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[30] @book{hayles1999posthuman,
  author    = {Hayles, N. Katherine}, title = {How We Became Posthuman: Virtual Bodies in Cybernetics, Literature, and Informatics},
  publisher = {University of Chicago Press}, year = {1999}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[31] @article{birkhoff1933aesthetic,
  author  = {Birkhoff, George David}, title = {Aesthetic Measure},
  journal = {Harvard University Press}, year = {1933}
}</w:t>
      </w:r>
    </w:p>
    <w:p>
      <w:pPr>
        <w:spacing w:after="120" w:before="0" w:line="280"/>
        <w:ind w:left="480"/>
      </w:pPr>
      <w:r>
        <w:rPr>
          <w:sz w:val="18"/>
          <w:szCs w:val="18"/>
        </w:rPr>
        <w:t xml:space="preserve">[32] @article{mou2024book,
  author  = {Mou, Luntian}, title = {Artificial Intelligence for Art Creation and Understanding},
  journal = {CRC Press}, year = {2024},
  doi     = {10.1201/9781003406273}
}</w:t>
      </w:r>
    </w:p>
    <w:p>
      <w:r>
        <w:br w:type="page"/>
      </w:r>
    </w:p>
    <w:p>
      <w:pPr>
        <w:spacing w:after="120" w:before="120"/>
        <w:jc w:val="center"/>
      </w:pPr>
      <w:r>
        <w:rPr>
          <w:rFonts w:ascii="宋体" w:cs="宋体" w:eastAsia="宋体" w:hAnsi="宋体"/>
          <w:b/>
          <w:bCs/>
          <w:sz w:val="32"/>
          <w:szCs w:val="32"/>
        </w:rPr>
        <w:t xml:space="preserve">致 谢</w:t>
      </w:r>
    </w:p>
    <w:p>
      <w:pPr>
        <w:spacing w:after="0" w:before="0" w:line="360"/>
        <w:ind w:firstLine="480"/>
        <w:jc w:val="both"/>
      </w:pPr>
      <w:r>
        <w:rPr>
          <w:rFonts w:ascii="宋体" w:cs="宋体" w:eastAsia="宋体" w:hAnsi="宋体"/>
          <w:sz w:val="24"/>
          <w:szCs w:val="24"/>
        </w:rPr>
        <w:t xml:space="preserve">感谢导师与各位评审专家对本研究的指导与支持。本研究为文献综述性质，所引文献均标注于参考文献，部分案例信息来源于公开报道与学术数据库。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宋体" w:cs="宋体" w:eastAsia="宋体" w:hAnsi="宋体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宋体" w:cs="宋体" w:eastAsia="宋体" w:hAnsi="宋体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宋体" w:cs="宋体" w:eastAsia="宋体" w:hAnsi="宋体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20" w:before="220"/>
      <w:outlineLvl w:val="2"/>
    </w:pPr>
    <w:rPr>
      <w:rFonts w:ascii="宋体" w:cs="宋体" w:eastAsia="宋体" w:hAnsi="宋体"/>
      <w:b/>
      <w:bC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2026-07-17T04:40:27.987Z</dcterms:created>
  <dcterms:modified xsi:type="dcterms:W3CDTF">2026-07-17T04:40:27.987Z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