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 w:before="200"/>
        <w:jc w:val="center"/>
      </w:pPr>
      <w:r>
        <w:rPr>
          <w:rFonts w:ascii="微软雅黑" w:cs="微软雅黑" w:eastAsia="微软雅黑" w:hAnsi="微软雅黑"/>
          <w:color w:val="595959"/>
          <w:sz w:val="28"/>
          <w:szCs w:val="28"/>
        </w:rPr>
        <w:t xml:space="preserve">管理咨询建议报告</w:t>
      </w:r>
    </w:p>
    <w:p>
      <w:pPr>
        <w:spacing w:after="120" w:before="120"/>
        <w:jc w:val="center"/>
      </w:pPr>
      <w:r>
        <w:rPr>
          <w:rFonts w:ascii="微软雅黑" w:cs="微软雅黑" w:eastAsia="微软雅黑" w:hAnsi="微软雅黑"/>
          <w:b/>
          <w:bCs/>
          <w:color w:val="1F3864"/>
          <w:sz w:val="52"/>
          <w:szCs w:val="52"/>
        </w:rPr>
        <w:t xml:space="preserve">传统制造企业数字化转型</w:t>
      </w:r>
    </w:p>
    <w:p>
      <w:pPr>
        <w:spacing w:after="400" w:before="0"/>
        <w:jc w:val="center"/>
      </w:pPr>
      <w:r>
        <w:rPr>
          <w:rFonts w:ascii="微软雅黑" w:cs="微软雅黑" w:eastAsia="微软雅黑" w:hAnsi="微软雅黑"/>
          <w:b/>
          <w:bCs/>
          <w:color w:val="2E74B5"/>
          <w:sz w:val="36"/>
          <w:szCs w:val="36"/>
        </w:rPr>
        <w:t xml:space="preserve">—— 经营效率提升专项</w:t>
      </w:r>
    </w:p>
    <w:p>
      <w:pPr>
        <w:pBdr>
          <w:top w:val="single" w:color="2E74B5" w:sz="8" w:space="8"/>
          <w:bottom w:val="single" w:color="2E74B5" w:sz="8" w:space="8"/>
        </w:pBdr>
        <w:spacing w:after="200" w:before="200"/>
        <w:jc w:val="center"/>
      </w:pPr>
      <w:r>
        <w:rPr>
          <w:rFonts w:ascii="微软雅黑" w:cs="微软雅黑" w:eastAsia="微软雅黑" w:hAnsi="微软雅黑"/>
          <w:b/>
          <w:bCs/>
          <w:color w:val="1F3864"/>
          <w:sz w:val="24"/>
          <w:szCs w:val="24"/>
        </w:rPr>
        <w:t xml:space="preserve">简版咨询建议报告</w:t>
      </w:r>
    </w:p>
    <w:p>
      <w:pPr>
        <w:spacing w:before="2400"/>
      </w:pPr>
    </w:p>
    <w:p>
      <w:pPr>
        <w:spacing w:after="60" w:before="100"/>
        <w:jc w:val="center"/>
      </w:pPr>
      <w:r>
        <w:rPr>
          <w:rFonts w:ascii="微软雅黑" w:cs="微软雅黑" w:eastAsia="微软雅黑" w:hAnsi="微软雅黑"/>
          <w:color w:val="595959"/>
          <w:sz w:val="22"/>
          <w:szCs w:val="22"/>
        </w:rPr>
        <w:t xml:space="preserve">编制单位：管理咨询团队</w:t>
      </w:r>
    </w:p>
    <w:p>
      <w:pPr>
        <w:spacing w:after="60" w:before="60"/>
        <w:jc w:val="center"/>
      </w:pPr>
      <w:r>
        <w:rPr>
          <w:rFonts w:ascii="微软雅黑" w:cs="微软雅黑" w:eastAsia="微软雅黑" w:hAnsi="微软雅黑"/>
          <w:color w:val="595959"/>
          <w:sz w:val="22"/>
          <w:szCs w:val="22"/>
        </w:rPr>
        <w:t xml:space="preserve">报告密级：商业机密</w:t>
      </w:r>
    </w:p>
    <w:p>
      <w:pPr>
        <w:spacing w:after="60" w:before="60"/>
        <w:jc w:val="center"/>
      </w:pPr>
      <w:r>
        <w:rPr>
          <w:rFonts w:ascii="微软雅黑" w:cs="微软雅黑" w:eastAsia="微软雅黑" w:hAnsi="微软雅黑"/>
          <w:color w:val="595959"/>
          <w:sz w:val="22"/>
          <w:szCs w:val="22"/>
        </w:rPr>
        <w:t xml:space="preserve">报告日期：2026年7月</w:t>
      </w:r>
    </w:p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一、执行摘要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本报告针对某传统制造企业的经营现状进行了系统诊断，识别出销售效率低、库存周转慢、客户管理分散、部门协同弱四大核心问题。在企业整体运营中，上述问题相互关联、彼此叠加，已对企业的盈利能力与市场响应速度形成显著制约。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咨询团队基于行业对标分析与数字化成熟度评估，提出以数字化转型为主线的整体解决方案，涵盖营销数字化、智能供应链、客户管理平台与协同办公四大模块，并配套数据驱动的经营决策体系。方案分三阶段、12个月推进，预计可在实施期内实现销售人效提升30%以上、库存周转率提升40%以上、客户复购率提升20%以上的核心经营目标。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本报告同时识别了技术、组织、数据与预算四类主要风险，并给出针对性应对措施。建议企业管理层成立数字化转型领导小组，统筹推进项目落地，以系统性变革换取经营效率的实质性跃升。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核心结论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问题性质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系统性运营效率问题，非单点缺陷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解决主线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以数字化转型为牵引，重构营销—供应链—客户—协同四大链路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实施周期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12个月，分基础搭建、核心系统、优化扩展三阶段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关键收益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销售人效+30%、库存周转+40%、客户复购+20%、协同效率显著改善</w:t>
            </w:r>
          </w:p>
        </w:tc>
      </w:tr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首要行动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成立数字化转型领导小组，启动现状盘点与系统选型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二、项目背景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2.1 客户基本情况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客户为一家深耕传统制造领域多年的中型企业，主营产品在细分市场具有一定份额与品牌积累。企业现有员工数百人，设有销售、生产、采购、仓储、财务及行政等职能部门，业务覆盖从原材料采购、生产制造到产品销售的全链条。近年来，企业营收增速放缓、利润率持续承压，管理层已意识到依靠原有模式难以维系增长，亟需寻求新的效率提升路径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2.2 行业环境分析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当前制造业正处于由规模化扩张向精益化运营转型的关键阶段。一方面，原材料成本波动、劳动力成本上升、市场需求个性化趋势加剧，传统以人工经验驱动的经营方式响应迟缓、误差累积；另一方面，工业互联网、大数据、人工智能等技术日益成熟，头部企业已通过数字化实现显著的降本增效。行业竞争正从“拼规模”转向“拼效率”，数字化转型已成为制造业不可回避的战略命题。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对客户而言，不变革将意味着市场份额被数字化领先者持续蚕食；被动跟进则缺乏顶层设计、易陷入“只见树木不见森林”的局部信息化陷阱。因此，系统性的咨询诊断与整体规划至关重要。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2.3 咨询委托缘起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企业管理层在内部经营复盘中发现，销售、库存、客户与协同四个维度的低效现象长期并存且相互影响，单靠某一部门难以根治。为此，企业委托咨询团队开展经营效率诊断，并基于诊断结论输出数字化转型建议方案，以期通过系统性变革提升整体经营效率，重塑竞争力。</w:t>
      </w:r>
    </w:p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三、问题诊断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3.1 客户现状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咨询团队通过实地走访、流程梳理、数据抽样与人员访谈，对客户当前经营全貌进行了诊断。总体来看，企业业务链条完整、团队稳定，但各环节普遍依赖人工流转与线下记录，数据分散、口径不一，管理层难以获得实时、准确的全局视图。下表为客户现状概览：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780"/>
        <w:gridCol w:w="3780"/>
      </w:tblGrid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现状描述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典型表现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销售管理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线下拜访为主，订单手工录入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线索流失、跟进无记录、业绩看不清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库存仓储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台账与实物分离，盘点周期长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库存积压与缺货并存，周转率低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客户管理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客户信息分散于个人与表格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复购无规划、流失无预警、画像缺失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部门协同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跨部门靠邮件电话沟通</w:t>
            </w:r>
          </w:p>
        </w:tc>
        <w:tc>
          <w:tcPr>
            <w:tcW w:type="dxa" w:w="37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信息断层、返工多、响应慢</w:t>
            </w:r>
          </w:p>
        </w:tc>
      </w:tr>
    </w:tbl>
    <w:p>
      <w:pPr>
        <w:pStyle w:val="Heading2"/>
      </w:pPr>
      <w:r>
        <w:rPr>
          <w:rFonts w:ascii="微软雅黑" w:cs="微软雅黑" w:eastAsia="微软雅黑" w:hAnsi="微软雅黑"/>
        </w:rPr>
        <w:t xml:space="preserve">3.2 核心问题诊断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结合现状盘点与行业对标，咨询团队识别出四项相互关联的核心问题，构成当前经营效率的主要瓶颈。</w:t>
      </w:r>
    </w:p>
    <w:p>
      <w:pPr>
        <w:pStyle w:val="Heading3"/>
      </w:pPr>
      <w:r>
        <w:rPr>
          <w:rFonts w:ascii="微软雅黑" w:cs="微软雅黑" w:eastAsia="微软雅黑" w:hAnsi="微软雅黑"/>
        </w:rPr>
        <w:t xml:space="preserve">3.2.1 问题一：销售效率低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销售流程缺乏数字化支撑，线索来源分散、跟进过程无沉淀，客户转化主要依赖个人经验。订单需多次手工录入，不仅耗时，且错误率较高。销售数据分散在不同销售员手中，管理层无法实时掌握漏斗与转化情况，难以进行精准的资源调配与策略调整。结果表现为人均产出低于行业均值，丢单率与线索流失率偏高。</w:t>
      </w:r>
    </w:p>
    <w:p>
      <w:pPr>
        <w:pStyle w:val="Heading3"/>
      </w:pPr>
      <w:r>
        <w:rPr>
          <w:rFonts w:ascii="微软雅黑" w:cs="微软雅黑" w:eastAsia="微软雅黑" w:hAnsi="微软雅黑"/>
        </w:rPr>
        <w:t xml:space="preserve">3.2.2 问题二：库存周转慢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库存管理以静态台账为主，与实物、采购、销售数据相互割裂。采购计划依赖经验判断，缺乏基于实际消耗与预测的智能补货机制，导致畅销品频繁缺货、滞销品长期积压。盘点周期长、账实差异大，资金被大量沉淀在低效库存中，周转天数明显高于行业水平，直接拖累现金流与利润。</w:t>
      </w:r>
    </w:p>
    <w:p>
      <w:pPr>
        <w:pStyle w:val="Heading3"/>
      </w:pPr>
      <w:r>
        <w:rPr>
          <w:rFonts w:ascii="微软雅黑" w:cs="微软雅黑" w:eastAsia="微软雅黑" w:hAnsi="微软雅黑"/>
        </w:rPr>
        <w:t xml:space="preserve">3.2.3 问题三：客户管理分散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客户资源沉淀在销售人员个人手中和零散的电子表格中，企业层面缺乏统一的客户主数据与生命周期管理。客户画像不完整、交易历史难以追溯，复购依赖销售个人维护，客户流失缺乏预警。一旦销售人员变动，客户资源随之流失的风险极高。企业难以基于客户价值进行分层运营与精准营销，客户资产未能有效货币化。</w:t>
      </w:r>
    </w:p>
    <w:p>
      <w:pPr>
        <w:pStyle w:val="Heading3"/>
      </w:pPr>
      <w:r>
        <w:rPr>
          <w:rFonts w:ascii="微软雅黑" w:cs="微软雅黑" w:eastAsia="微软雅黑" w:hAnsi="微软雅黑"/>
        </w:rPr>
        <w:t xml:space="preserve">3.2.4 问题四：部门协同弱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销售、生产、采购、仓储、财务等部门间信息以邮件、电话、纸质单据传递为主，缺乏统一的流程与数据平台。订单从接收到交付需多次跨部门流转，信息断点与口径不一致导致返工频繁、交付周期拉长。各部门“各自为政”，数据口径不统一，形成多个信息孤岛，管理层难以获得一致、实时的经营全景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3.3 关键发现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在四项核心问题之外，咨询团队提炼出以下关键发现，对方案设计具有方向性意义：</w:t>
      </w:r>
    </w:p>
    <w:p>
      <w:pPr>
        <w:pStyle w:val="ListParagraph"/>
        <w:numPr>
          <w:ilvl w:val="0"/>
          <w:numId w:val="2"/>
        </w:numPr>
        <w:spacing w:after="60" w:before="40" w:line="340"/>
      </w:pPr>
      <w:r>
        <w:rPr>
          <w:rFonts w:ascii="微软雅黑" w:cs="微软雅黑" w:eastAsia="微软雅黑" w:hAnsi="微软雅黑"/>
          <w:b/>
          <w:bCs/>
          <w:color w:val="262626"/>
          <w:sz w:val="22"/>
          <w:szCs w:val="22"/>
        </w:rPr>
        <w:t xml:space="preserve">问题同源：四项问题根源在于“流程未线上化、数据未资产化”，系同一系统性短板的不同表征，宜整体治理而非分项修补。</w:t>
      </w:r>
    </w:p>
    <w:p>
      <w:pPr>
        <w:pStyle w:val="ListParagraph"/>
        <w:numPr>
          <w:ilvl w:val="0"/>
          <w:numId w:val="2"/>
        </w:numPr>
        <w:spacing w:after="60" w:before="4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数字化基础薄弱但已具备条件：企业已部署财务等基础系统，网络与设备条件可支撑转型，欠缺的是顶层规划与业务系统贯通。</w:t>
      </w:r>
    </w:p>
    <w:p>
      <w:pPr>
        <w:pStyle w:val="ListParagraph"/>
        <w:numPr>
          <w:ilvl w:val="0"/>
          <w:numId w:val="2"/>
        </w:numPr>
        <w:spacing w:after="60" w:before="4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人员数字化素养参差：中高层转型意愿较强，基层对新系统存在畏难情绪，变革管理与培训是不可省略的环节。</w:t>
      </w:r>
    </w:p>
    <w:p>
      <w:pPr>
        <w:pStyle w:val="ListParagraph"/>
        <w:numPr>
          <w:ilvl w:val="0"/>
          <w:numId w:val="2"/>
        </w:numPr>
        <w:spacing w:after="60" w:before="4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数据质量待治理：历史数据口径不一、缺失较多，需在系统建设同步开展数据治理，否则“上线即闲置”。</w:t>
      </w:r>
    </w:p>
    <w:p>
      <w:pPr>
        <w:pStyle w:val="ListParagraph"/>
        <w:numPr>
          <w:ilvl w:val="0"/>
          <w:numId w:val="2"/>
        </w:numPr>
        <w:spacing w:after="60" w:before="4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投入产出可量化：对标行业案例，针对上述问题的数字化改造投入产出比明确，具备立项的财务可行性。</w:t>
      </w:r>
    </w:p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四、解决方案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基于问题诊断与关键发现，咨询团队提出“四大业务模块 + 一大支撑体系”的解决方案框架，以数字化转型为牵引，重构营销、供应链、客户、协同四大链路，并以数据中台与治理体系贯穿支撑，实现从经验驱动向数据驱动的经营模式跃迁。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方案模块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核心举措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解决对应问题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模块一：营销数字化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构建线索—商机—订单一体化销售中台，移动化拜访与在线下单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销售效率低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模块二：智能供应链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WMS仓储数字化 + 智能补货预测 + 采购计划联动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库存周转慢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模块三：客户管理平台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统一客户主数据 + 全生命周期画像 + 分层精准运营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客户管理分散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模块四：协同办公平台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流程引擎贯通跨部门审批 + 统一数据看板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部门协同弱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支撑体系：数据中台与治理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统一数据标准、主数据管理、经营驾驶舱</w:t>
            </w:r>
          </w:p>
        </w:tc>
        <w:tc>
          <w:tcPr>
            <w:tcW w:type="dxa" w:w="348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贯穿全模块，破除信息孤岛</w:t>
            </w:r>
          </w:p>
        </w:tc>
      </w:tr>
    </w:tbl>
    <w:p>
      <w:pPr>
        <w:pStyle w:val="Heading2"/>
      </w:pPr>
      <w:r>
        <w:rPr>
          <w:rFonts w:ascii="微软雅黑" w:cs="微软雅黑" w:eastAsia="微软雅黑" w:hAnsi="微软雅黑"/>
        </w:rPr>
        <w:t xml:space="preserve">4.1 模块一：营销数字化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建设一体化销售中台，将线索获取、商机跟进、报价、订单、回款全流程线上化。销售人员通过移动端完成拜访打卡、现场下单，系统自动校验库存与价格，减少手工录入与差错。管理层实时透视销售漏斗与转化，实现以数据驱动的资源调配。配套搭建商机漏斗看板与业绩预警，让管理从“事后统计”转向“事中干预”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4.2 模块二：智能供应链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以WMS为核心实现仓储数字化，账实同步、扫码出入库、动态盘点。引入基于历史销售与季节因子的智能补货模型，联动采购计划，降低缺货与积压。建立库存健康度指标体系（周转天数、呆滞占比、缺货率），设置预警阈值，将库存管理从被动响应转为主动经营，释放沉淀资金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4.3 模块三：客户管理平台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构建统一客户主数据，整合交易、服务、沟通记录，形成完整客户画像。按价值与活跃度进行客户分层，制定差异化运营策略：高价值客户重点维护与交叉销售，潜力客户培育激活，流失风险客户预警挽留。客户资产沉淀于企业而非个人，降低人员流动带来的资源流失风险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4.4 模块四：协同办公平台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部署流程引擎，将订单交付、采购审批、费用报销等跨部门流程线上化、标准化，减少信息断点与返工。打通各业务系统数据，构建统一经营驾驶舱，让管理层“一屏看全局”。协同平台同时承载即时沟通与知识沉淀，提升组织响应速度与经验复用效率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4.5 支撑体系：数据中台与治理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数据中台统一各业务系统的数据标准与口径，建立主数据管理机制，确保“同源同口径”。同步开展历史数据清洗与质量治理，为新系统提供可信数据底座。经营驾驶舱整合销售、库存、客户、财务多维指标，支撑管理层基于实时数据做决策，是四大模块价值兑现的关键枢纽。</w:t>
      </w:r>
    </w:p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五、实施计划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项目建议分三阶段、12个月推进，遵循“总体规划、分步实施、急用先行、价值速赢”原则，确保每个阶段均有可见成果，坚定团队转型信心。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200"/>
        <w:gridCol w:w="5960"/>
      </w:tblGrid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阶段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时间与主题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关键任务与交付物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第一阶段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第1—3月  基础搭建期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成立数字化转型领导小组；完成现状盘点与业务流程梳理；统一数据标准与主数据口径；选型并采购核心系统；启动数据治理与历史清洗；完成变革沟通与骨干培训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第二阶段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第4—8月  核心系统期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上线销售中台与移动端；WMS仓储数字化落地；客户主数据平台与画像构建；协同流程引擎贯通核心审批流；经营驾驶舱首版上线；分批培训与试运行</w:t>
            </w:r>
          </w:p>
        </w:tc>
      </w:tr>
      <w:tr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第三阶段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第9—12月  优化扩展期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智能补货模型调优上线；客户分层运营策略落地；驾驶舱指标完善与预警贯通；系统间深度集成；开展效果评估与复盘；固化运营机制并推广至全业务线</w:t>
            </w:r>
          </w:p>
        </w:tc>
      </w:tr>
    </w:tbl>
    <w:p>
      <w:pPr>
        <w:pStyle w:val="Heading2"/>
      </w:pPr>
      <w:r>
        <w:rPr>
          <w:rFonts w:ascii="微软雅黑" w:cs="微软雅黑" w:eastAsia="微软雅黑" w:hAnsi="微软雅黑"/>
        </w:rPr>
        <w:t xml:space="preserve">5.1 阶段一：基础搭建期（第1—3月）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本阶段重在“立顶层、打地基”。成立由一把手挂帅的数字化转型领导小组，明确职责与决策机制。完成全业务流程梳理与现状盘点，统一数据标准与主数据口径，从源头消除“各说各话”。完成核心系统选型采购，同步启动历史数据治理与清洗，为新系统提供可信底座。开展变革宣贯与骨干培训，奠定组织准备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5.2 阶段二：核心系统期（第4—8月）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本阶段聚焦“上系统、通流程”。销售中台与移动端先行上线，销售全流程线上化；WMS仓储数字化落地，账实同步；客户主数据平台与画像构建完成；协同流程引擎贯通核心审批流，打破部门断点；经营驾驶舱首版上线，管理层获得实时经营视图。采取分批培训与试运行，边建边用、快速纠偏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5.3 阶段三：优化扩展期（第9—12月）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本阶段重在“见成效、扩价值”。智能补货模型经调优后正式上线，库存经营化落地；客户分层运营策略全面执行；驾驶舱指标完善并贯通预警机制；系统间深度集成，形成闭环数据流。开展项目效果评估与复盘，固化运营机制并推广至全业务线，确保转型成果可持续、可复制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5.4 组织保障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建议设立三层组织保障：领导小组负责战略决策与资源调度；项目管理办公室（PMO）负责进度、质量与风险统筹；业务专项组负责各模块需求落地与培训推广。配套建立周例会、月度评审、阶段验收机制，确保项目可控、可见、可追溯。</w:t>
      </w:r>
    </w:p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六、预期收益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项目落地后，预计在定量与定性两个维度带来显著收益。下表为主要量化目标，指标值基于行业对标并结合客户基线测算，实施过程中将滚动校准。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2960"/>
        <w:gridCol w:w="2800"/>
      </w:tblGrid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收益指标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当前基线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目标提升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收益说明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销售人均产出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行业后30%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548235"/>
                <w:sz w:val="20"/>
                <w:szCs w:val="20"/>
              </w:rPr>
              <w:t xml:space="preserve">提升30%以上，进入行业中位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漏斗可视、资源精准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库存周转天数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90天以上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548235"/>
                <w:sz w:val="20"/>
                <w:szCs w:val="20"/>
              </w:rPr>
              <w:t xml:space="preserve">缩短40%以上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释放沉淀资金、降本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客户复购率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低于25%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548235"/>
                <w:sz w:val="20"/>
                <w:szCs w:val="20"/>
              </w:rPr>
              <w:t xml:space="preserve">提升20个百分点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分层运营、精准挽留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订单交付周期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返工多、周期长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548235"/>
                <w:sz w:val="20"/>
                <w:szCs w:val="20"/>
              </w:rPr>
              <w:t xml:space="preserve">缩短25%以上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流程贯通、协同提效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决策响应速度</w:t>
            </w:r>
          </w:p>
        </w:tc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月度统计滞后</w:t>
            </w:r>
          </w:p>
        </w:tc>
        <w:tc>
          <w:tcPr>
            <w:tcW w:type="dxa" w:w="2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548235"/>
                <w:sz w:val="20"/>
                <w:szCs w:val="20"/>
              </w:rPr>
              <w:t xml:space="preserve">实时驾驶舱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事中干预、敏捷决策</w:t>
            </w:r>
          </w:p>
        </w:tc>
      </w:tr>
    </w:tbl>
    <w:p>
      <w:pPr>
        <w:pStyle w:val="Heading2"/>
      </w:pPr>
      <w:r>
        <w:rPr>
          <w:rFonts w:ascii="微软雅黑" w:cs="微软雅黑" w:eastAsia="微软雅黑" w:hAnsi="微软雅黑"/>
        </w:rPr>
        <w:t xml:space="preserve">6.1 定量收益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销售端，漏斗可视化与移动化下单将显著提升人均产出与转化率；库存端，智能补货与账实同步可大幅压降周转天数、释放沉淀资金；客户端，分层运营与流失预警带来复购率与留存率的提升；协同端，流程贯通缩短交付周期、降低返工成本。综合测算，项目投入预计在18—24个月内收回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6.2 定性收益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除量化指标外，项目将为企业沉淀三类长期资产：一是可复用的数据资产，经营决策从“凭经验”转向“凭数据”；二是标准化的流程资产，降低对个人经验的依赖、提升组织韧性；三是数字化的组织能力，团队数字化素养与协同意识整体跃升，为企业后续向智能制造演进奠定基础。</w:t>
      </w:r>
    </w:p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七、风险控制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项目推进过程中存在技术、组织、数据与预算四类主要风险。咨询团队对各类风险进行识别与评级，并制定针对性应对措施，确保项目稳健落地。</w:t>
      </w:r>
    </w:p>
    <w:p>
      <w:pPr>
        <w:spacing w:after="6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200"/>
        <w:gridCol w:w="3360"/>
        <w:gridCol w:w="3300"/>
      </w:tblGrid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风险类别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风险等级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风险描述</w:t>
            </w:r>
          </w:p>
        </w:tc>
        <w:tc>
          <w:tcPr>
            <w:tcW w:type="dxa" w:w="3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3864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应对措施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技术风险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C0504D"/>
                <w:sz w:val="20"/>
                <w:szCs w:val="20"/>
              </w:rPr>
              <w:t xml:space="preserve">中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系统集成复杂、接口不一，存在数据打通失败风险</w:t>
            </w:r>
          </w:p>
        </w:tc>
        <w:tc>
          <w:tcPr>
            <w:tcW w:type="dxa" w:w="3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选用开放架构与标准接口；优先打通核心链路；预留集成测试周期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组织风险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C0504D"/>
                <w:sz w:val="20"/>
                <w:szCs w:val="20"/>
              </w:rPr>
              <w:t xml:space="preserve">高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基层畏难、抵触新流程，变革推进受阻</w:t>
            </w:r>
          </w:p>
        </w:tc>
        <w:tc>
          <w:tcPr>
            <w:tcW w:type="dxa" w:w="3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一把手挂帅；分批培训与试点先行；设置速赢节点建立信心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数据风险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C0504D"/>
                <w:sz w:val="20"/>
                <w:szCs w:val="20"/>
              </w:rPr>
              <w:t xml:space="preserve">中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历史数据口径不一、缺失多，影响系统成效</w:t>
            </w:r>
          </w:p>
        </w:tc>
        <w:tc>
          <w:tcPr>
            <w:tcW w:type="dxa" w:w="3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同步开展数据治理与清洗；建立主数据标准；设数据质量责任人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预算风险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C0504D"/>
                <w:sz w:val="20"/>
                <w:szCs w:val="20"/>
              </w:rPr>
              <w:t xml:space="preserve">中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需求蔓延致投入超支，或压缩投入致质量打折</w:t>
            </w:r>
          </w:p>
        </w:tc>
        <w:tc>
          <w:tcPr>
            <w:tcW w:type="dxa" w:w="3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明确范围与变更管控；分阶段预算评审；预留应急储备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/>
                <w:bCs/>
                <w:color w:val="262626"/>
                <w:sz w:val="20"/>
                <w:szCs w:val="20"/>
              </w:rPr>
              <w:t xml:space="preserve">供应商风险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微软雅黑" w:cs="微软雅黑" w:eastAsia="微软雅黑" w:hAnsi="微软雅黑"/>
                <w:b/>
                <w:bCs/>
                <w:color w:val="548235"/>
                <w:sz w:val="20"/>
                <w:szCs w:val="20"/>
              </w:rPr>
              <w:t xml:space="preserve">低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实施方交付能力或持续服务不及预期</w:t>
            </w:r>
          </w:p>
        </w:tc>
        <w:tc>
          <w:tcPr>
            <w:tcW w:type="dxa" w:w="3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微软雅黑" w:cs="微软雅黑" w:eastAsia="微软雅黑" w:hAnsi="微软雅黑"/>
                <w:b w:val="false"/>
                <w:bCs w:val="false"/>
                <w:color w:val="262626"/>
                <w:sz w:val="20"/>
                <w:szCs w:val="20"/>
              </w:rPr>
              <w:t xml:space="preserve">选型评估交付案例；合同设验收与里程碑条款；保留源数据自主权</w:t>
            </w:r>
          </w:p>
        </w:tc>
      </w:tr>
    </w:tbl>
    <w:p>
      <w:pPr>
        <w:pStyle w:val="Heading2"/>
      </w:pPr>
      <w:r>
        <w:rPr>
          <w:rFonts w:ascii="微软雅黑" w:cs="微软雅黑" w:eastAsia="微软雅黑" w:hAnsi="微软雅黑"/>
        </w:rPr>
        <w:t xml:space="preserve">7.1 组织风险为首要管控重点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数字化转型“三分技术、七分组织”。组织风险等级最高，需作为首要管控重点。建议一把手亲自挂帅领导小组，以强有力的组织决心带动全员转变；采用试点先行、速赢可见的策略，让基层在早期成果中建立信心；配套分批、分层培训，将“要我变”转化为“我要变”。</w:t>
      </w:r>
    </w:p>
    <w:p>
      <w:pPr>
        <w:pStyle w:val="Heading2"/>
      </w:pPr>
      <w:r>
        <w:rPr>
          <w:rFonts w:ascii="微软雅黑" w:cs="微软雅黑" w:eastAsia="微软雅黑" w:hAnsi="微软雅黑"/>
        </w:rPr>
        <w:t xml:space="preserve">7.2 建立全程风险跟踪机制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PMO建立风险登记册，对各类风险动态跟踪、定期复盘。每阶段验收前进行风险专项评审，确保风险在可控范围内方可进入下一阶段。对中高等级风险设置预案与责任人，做到早识别、早干预、早闭环。</w:t>
      </w:r>
    </w:p>
    <w:p>
      <w:r>
        <w:br w:type="page"/>
      </w:r>
    </w:p>
    <w:p>
      <w:pPr>
        <w:pStyle w:val="Heading1"/>
      </w:pPr>
      <w:r>
        <w:rPr>
          <w:rFonts w:ascii="微软雅黑" w:cs="微软雅黑" w:eastAsia="微软雅黑" w:hAnsi="微软雅黑"/>
        </w:rPr>
        <w:t xml:space="preserve">八、结论建议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综合诊断与方案设计，咨询团队得出如下结论：客户当前经营效率问题具有系统性，根源在于流程未线上化、数据未资产化，单点修补难以根治；而以数字化转型为主线的整体方案，契合行业趋势与企业实际，投入产出明确、风险总体可控。</w:t>
      </w: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为此，咨询团队向企业管理层提出以下建议：</w:t>
      </w:r>
    </w:p>
    <w:p>
      <w:pPr>
        <w:pStyle w:val="ListParagraph"/>
        <w:numPr>
          <w:ilvl w:val="0"/>
          <w:numId w:val="3"/>
        </w:numPr>
        <w:spacing w:after="60" w:before="60" w:line="340"/>
      </w:pPr>
      <w:r>
        <w:rPr>
          <w:rFonts w:ascii="微软雅黑" w:cs="微软雅黑" w:eastAsia="微软雅黑" w:hAnsi="微软雅黑"/>
          <w:b/>
          <w:bCs/>
          <w:color w:val="262626"/>
          <w:sz w:val="22"/>
          <w:szCs w:val="22"/>
        </w:rPr>
        <w:t xml:space="preserve">尽快决策立项：建议管理层在30日内完成方案评审与立项决策，组建数字化转型领导小组，明确一把手挂帅与职责分工。</w:t>
      </w:r>
    </w:p>
    <w:p>
      <w:pPr>
        <w:pStyle w:val="ListParagraph"/>
        <w:numPr>
          <w:ilvl w:val="0"/>
          <w:numId w:val="3"/>
        </w:numPr>
        <w:spacing w:after="60" w:before="6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坚持整体规划、分步实施：以本报告三阶段路径为蓝本推进，避免脱离主线的零散建设，确保资源聚焦、价值速赢。</w:t>
      </w:r>
    </w:p>
    <w:p>
      <w:pPr>
        <w:pStyle w:val="ListParagraph"/>
        <w:numPr>
          <w:ilvl w:val="0"/>
          <w:numId w:val="3"/>
        </w:numPr>
        <w:spacing w:after="60" w:before="6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组织与系统并重：在系统建设同时同步推进组织变革、流程优化与人才培养，避免“重系统、轻管理”导致上而不用。</w:t>
      </w:r>
    </w:p>
    <w:p>
      <w:pPr>
        <w:pStyle w:val="ListParagraph"/>
        <w:numPr>
          <w:ilvl w:val="0"/>
          <w:numId w:val="3"/>
        </w:numPr>
        <w:spacing w:after="60" w:before="6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数据治理先行：将数据标准与治理作为第一阶段的硬性任务，为新系统提供可信数据底座，夯实转型根基。</w:t>
      </w:r>
    </w:p>
    <w:p>
      <w:pPr>
        <w:pStyle w:val="ListParagraph"/>
        <w:numPr>
          <w:ilvl w:val="0"/>
          <w:numId w:val="3"/>
        </w:numPr>
        <w:spacing w:after="60" w:before="60" w:line="340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建立长效机制：项目验收后固化运营机制与数据驱动文化，将转型成果转化为持续竞争力，并规划向智能制造演进的下一步。</w:t>
      </w:r>
    </w:p>
    <w:p>
      <w:pPr>
        <w:spacing w:after="60" w:before="60"/>
      </w:pPr>
    </w:p>
    <w:p>
      <w:pPr>
        <w:spacing w:after="120" w:before="80" w:line="360"/>
        <w:jc w:val="both"/>
      </w:pPr>
      <w:r>
        <w:rPr>
          <w:rFonts w:ascii="微软雅黑" w:cs="微软雅黑" w:eastAsia="微软雅黑" w:hAnsi="微软雅黑"/>
          <w:b w:val="false"/>
          <w:bCs w:val="false"/>
          <w:color w:val="262626"/>
          <w:sz w:val="22"/>
          <w:szCs w:val="22"/>
        </w:rPr>
        <w:t xml:space="preserve">数字化转型是企业应对行业变革、重塑竞争力的战略选择。咨询团队相信，在管理层坚定决心与科学规划下，企业有望在12个月内实现经营效率的实质性跃升，为长远发展奠定坚实基础。本报告为简版建议，详细方案可在此基础上进一步深化。</w:t>
      </w:r>
    </w:p>
    <w:p>
      <w:pPr>
        <w:spacing w:after="60" w:before="60"/>
      </w:pPr>
    </w:p>
    <w:p>
      <w:pPr>
        <w:spacing w:after="40" w:before="400"/>
        <w:jc w:val="right"/>
      </w:pPr>
      <w:r>
        <w:rPr>
          <w:rFonts w:ascii="微软雅黑" w:cs="微软雅黑" w:eastAsia="微软雅黑" w:hAnsi="微软雅黑"/>
          <w:color w:val="595959"/>
          <w:sz w:val="22"/>
          <w:szCs w:val="22"/>
        </w:rPr>
        <w:t xml:space="preserve">管理咨询团队</w:t>
      </w:r>
    </w:p>
    <w:p>
      <w:pPr>
        <w:spacing w:after="40" w:before="40"/>
        <w:jc w:val="right"/>
      </w:pPr>
      <w:r>
        <w:rPr>
          <w:rFonts w:ascii="微软雅黑" w:cs="微软雅黑" w:eastAsia="微软雅黑" w:hAnsi="微软雅黑"/>
          <w:color w:val="595959"/>
          <w:sz w:val="22"/>
          <w:szCs w:val="22"/>
        </w:rPr>
        <w:t xml:space="preserve">2026年7月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微软雅黑" w:cs="微软雅黑" w:eastAsia="微软雅黑" w:hAnsi="微软雅黑"/>
        <w:color w:val="595959"/>
        <w:sz w:val="16"/>
        <w:szCs w:val="16"/>
      </w:rPr>
      <w:t xml:space="preserve">— </w:t>
    </w:r>
    <w:r>
      <w:rPr>
        <w:rFonts w:ascii="微软雅黑" w:cs="微软雅黑" w:eastAsia="微软雅黑" w:hAnsi="微软雅黑"/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微软雅黑" w:cs="微软雅黑" w:eastAsia="微软雅黑" w:hAnsi="微软雅黑"/>
        <w:color w:val="595959"/>
        <w:sz w:val="16"/>
        <w:szCs w:val="16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微软雅黑" w:cs="微软雅黑" w:eastAsia="微软雅黑" w:hAnsi="微软雅黑"/>
        <w:color w:val="595959"/>
        <w:sz w:val="16"/>
        <w:szCs w:val="16"/>
      </w:rPr>
      <w:t xml:space="preserve">传统制造企业数字化转型咨询建议报告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cs="微软雅黑" w:eastAsia="微软雅黑" w:hAnsi="微软雅黑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20"/>
      <w:outlineLvl w:val="0"/>
    </w:pPr>
    <w:rPr>
      <w:rFonts w:ascii="微软雅黑" w:cs="微软雅黑" w:eastAsia="微软雅黑" w:hAnsi="微软雅黑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40" w:before="220"/>
      <w:outlineLvl w:val="1"/>
    </w:pPr>
    <w:rPr>
      <w:rFonts w:ascii="微软雅黑" w:cs="微软雅黑" w:eastAsia="微软雅黑" w:hAnsi="微软雅黑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160"/>
      <w:outlineLvl w:val="2"/>
    </w:pPr>
    <w:rPr>
      <w:rFonts w:ascii="微软雅黑" w:cs="微软雅黑" w:eastAsia="微软雅黑" w:hAnsi="微软雅黑"/>
      <w:b/>
      <w:bCs/>
      <w:color w:val="1F3864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2026-07-22T10:34:58.714Z</dcterms:created>
  <dcterms:modified xsi:type="dcterms:W3CDTF">2026-07-22T10:34:58.715Z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