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宋体" w:cs="宋体" w:eastAsia="宋体" w:hAnsi="宋体"/>
          <w:b/>
          <w:bCs/>
          <w:sz w:val="40"/>
          <w:szCs w:val="40"/>
        </w:rPr>
        <w:t xml:space="preserve">文献综述开题报告</w:t>
      </w:r>
    </w:p>
    <w:p>
      <w:pPr>
        <w:spacing w:after="320" w:before="0"/>
        <w:jc w:val="center"/>
      </w:pPr>
      <w:r>
        <w:rPr>
          <w:rFonts w:ascii="宋体" w:cs="宋体" w:eastAsia="宋体" w:hAnsi="宋体"/>
          <w:sz w:val="24"/>
          <w:szCs w:val="24"/>
        </w:rPr>
        <w:t xml:space="preserve">——人工智能时代下的设计美学</w:t>
      </w:r>
    </w:p>
    <w:p/>
    <w:p>
      <w:pPr>
        <w:spacing w:after="200" w:before="200"/>
        <w:jc w:val="center"/>
      </w:pPr>
      <w:r>
        <w:rPr>
          <w:b/>
          <w:bCs/>
          <w:sz w:val="28"/>
          <w:szCs w:val="28"/>
        </w:rPr>
        <w:t xml:space="preserve">（开题报告）</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7000"/>
      </w:tblGrid>
      <w:tr>
        <w:tc>
          <w:tcPr>
            <w:tcW w:type="dxa" w:w="2000"/>
            <w:tcBorders>
              <w:top w:val="single" w:color="999999" w:sz="4"/>
              <w:left w:val="single" w:color="999999" w:sz="4"/>
              <w:bottom w:val="single" w:color="999999" w:sz="4"/>
              <w:right w:val="single" w:color="999999" w:sz="4"/>
            </w:tcBorders>
            <w:shd w:fill="EAEAEA" w:val="clear"/>
            <w:tcMar>
              <w:top w:type="dxa" w:w="60"/>
              <w:left w:type="dxa" w:w="100"/>
              <w:bottom w:type="dxa" w:w="60"/>
              <w:right w:type="dxa" w:w="100"/>
            </w:tcMar>
          </w:tcPr>
          <w:p>
            <w:pPr>
              <w:spacing w:line="300"/>
              <w:jc w:val="center"/>
            </w:pPr>
            <w:r>
              <w:rPr>
                <w:rFonts w:ascii="宋体" w:cs="宋体" w:eastAsia="宋体" w:hAnsi="宋体"/>
                <w:b/>
                <w:bCs/>
                <w:sz w:val="20"/>
                <w:szCs w:val="20"/>
              </w:rPr>
              <w:t xml:space="preserve">课题名称</w:t>
            </w:r>
          </w:p>
        </w:tc>
        <w:tc>
          <w:tcPr>
            <w:tcW w:type="dxa" w:w="70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left"/>
            </w:pPr>
            <w:r>
              <w:rPr>
                <w:rFonts w:ascii="宋体" w:cs="宋体" w:eastAsia="宋体" w:hAnsi="宋体"/>
                <w:b w:val="false"/>
                <w:bCs w:val="false"/>
                <w:sz w:val="20"/>
                <w:szCs w:val="20"/>
              </w:rPr>
              <w:t xml:space="preserve">人工智能时代下的设计美学：理论流变、方法论转向与实践范式研究</w:t>
            </w:r>
          </w:p>
        </w:tc>
      </w:tr>
      <w:tr>
        <w:tc>
          <w:tcPr>
            <w:tcW w:type="dxa" w:w="2000"/>
            <w:tcBorders>
              <w:top w:val="single" w:color="999999" w:sz="4"/>
              <w:left w:val="single" w:color="999999" w:sz="4"/>
              <w:bottom w:val="single" w:color="999999" w:sz="4"/>
              <w:right w:val="single" w:color="999999" w:sz="4"/>
            </w:tcBorders>
            <w:shd w:fill="EAEAEA" w:val="clear"/>
            <w:tcMar>
              <w:top w:type="dxa" w:w="60"/>
              <w:left w:type="dxa" w:w="100"/>
              <w:bottom w:type="dxa" w:w="60"/>
              <w:right w:type="dxa" w:w="100"/>
            </w:tcMar>
          </w:tcPr>
          <w:p>
            <w:pPr>
              <w:spacing w:line="300"/>
              <w:jc w:val="center"/>
            </w:pPr>
            <w:r>
              <w:rPr>
                <w:rFonts w:ascii="宋体" w:cs="宋体" w:eastAsia="宋体" w:hAnsi="宋体"/>
                <w:b/>
                <w:bCs/>
                <w:sz w:val="20"/>
                <w:szCs w:val="20"/>
              </w:rPr>
              <w:t xml:space="preserve">研究方向</w:t>
            </w:r>
          </w:p>
        </w:tc>
        <w:tc>
          <w:tcPr>
            <w:tcW w:type="dxa" w:w="70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left"/>
            </w:pPr>
            <w:r>
              <w:rPr>
                <w:rFonts w:ascii="宋体" w:cs="宋体" w:eastAsia="宋体" w:hAnsi="宋体"/>
                <w:b w:val="false"/>
                <w:bCs w:val="false"/>
                <w:sz w:val="20"/>
                <w:szCs w:val="20"/>
              </w:rPr>
              <w:t xml:space="preserve">设计学 / 艺术学理论 / 人工智能美学</w:t>
            </w:r>
          </w:p>
        </w:tc>
      </w:tr>
      <w:tr>
        <w:tc>
          <w:tcPr>
            <w:tcW w:type="dxa" w:w="2000"/>
            <w:tcBorders>
              <w:top w:val="single" w:color="999999" w:sz="4"/>
              <w:left w:val="single" w:color="999999" w:sz="4"/>
              <w:bottom w:val="single" w:color="999999" w:sz="4"/>
              <w:right w:val="single" w:color="999999" w:sz="4"/>
            </w:tcBorders>
            <w:shd w:fill="EAEAEA" w:val="clear"/>
            <w:tcMar>
              <w:top w:type="dxa" w:w="60"/>
              <w:left w:type="dxa" w:w="100"/>
              <w:bottom w:type="dxa" w:w="60"/>
              <w:right w:type="dxa" w:w="100"/>
            </w:tcMar>
          </w:tcPr>
          <w:p>
            <w:pPr>
              <w:spacing w:line="300"/>
              <w:jc w:val="center"/>
            </w:pPr>
            <w:r>
              <w:rPr>
                <w:rFonts w:ascii="宋体" w:cs="宋体" w:eastAsia="宋体" w:hAnsi="宋体"/>
                <w:b/>
                <w:bCs/>
                <w:sz w:val="20"/>
                <w:szCs w:val="20"/>
              </w:rPr>
              <w:t xml:space="preserve">文献范围</w:t>
            </w:r>
          </w:p>
        </w:tc>
        <w:tc>
          <w:tcPr>
            <w:tcW w:type="dxa" w:w="70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left"/>
            </w:pPr>
            <w:r>
              <w:rPr>
                <w:rFonts w:ascii="宋体" w:cs="宋体" w:eastAsia="宋体" w:hAnsi="宋体"/>
                <w:b w:val="false"/>
                <w:bCs w:val="false"/>
                <w:sz w:val="20"/>
                <w:szCs w:val="20"/>
              </w:rPr>
              <w:t xml:space="preserve">近5年（2020—2025年）中英文核心文献</w:t>
            </w:r>
          </w:p>
        </w:tc>
      </w:tr>
      <w:tr>
        <w:tc>
          <w:tcPr>
            <w:tcW w:type="dxa" w:w="2000"/>
            <w:tcBorders>
              <w:top w:val="single" w:color="999999" w:sz="4"/>
              <w:left w:val="single" w:color="999999" w:sz="4"/>
              <w:bottom w:val="single" w:color="999999" w:sz="4"/>
              <w:right w:val="single" w:color="999999" w:sz="4"/>
            </w:tcBorders>
            <w:shd w:fill="EAEAEA" w:val="clear"/>
            <w:tcMar>
              <w:top w:type="dxa" w:w="60"/>
              <w:left w:type="dxa" w:w="100"/>
              <w:bottom w:type="dxa" w:w="60"/>
              <w:right w:type="dxa" w:w="100"/>
            </w:tcMar>
          </w:tcPr>
          <w:p>
            <w:pPr>
              <w:spacing w:line="300"/>
              <w:jc w:val="center"/>
            </w:pPr>
            <w:r>
              <w:rPr>
                <w:rFonts w:ascii="宋体" w:cs="宋体" w:eastAsia="宋体" w:hAnsi="宋体"/>
                <w:b/>
                <w:bCs/>
                <w:sz w:val="20"/>
                <w:szCs w:val="20"/>
              </w:rPr>
              <w:t xml:space="preserve">报告日期</w:t>
            </w:r>
          </w:p>
        </w:tc>
        <w:tc>
          <w:tcPr>
            <w:tcW w:type="dxa" w:w="70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left"/>
            </w:pPr>
            <w:r>
              <w:rPr>
                <w:rFonts w:ascii="宋体" w:cs="宋体" w:eastAsia="宋体" w:hAnsi="宋体"/>
                <w:b w:val="false"/>
                <w:bCs w:val="false"/>
                <w:sz w:val="20"/>
                <w:szCs w:val="20"/>
              </w:rPr>
              <w:t xml:space="preserve">2026年7月</w:t>
            </w:r>
          </w:p>
        </w:tc>
      </w:tr>
    </w:tbl>
    <w:p/>
    <w:p>
      <w:pPr>
        <w:pStyle w:val="Heading1"/>
        <w:spacing w:after="200" w:before="360"/>
        <w:jc w:val="left"/>
      </w:pPr>
      <w:r>
        <w:rPr>
          <w:rFonts w:ascii="宋体" w:cs="宋体" w:eastAsia="宋体" w:hAnsi="宋体"/>
          <w:b/>
          <w:bCs/>
          <w:sz w:val="32"/>
          <w:szCs w:val="32"/>
        </w:rPr>
        <w:t xml:space="preserve">一、选题背景与研究意义</w:t>
      </w:r>
    </w:p>
    <w:p>
      <w:pPr>
        <w:pStyle w:val="Heading1"/>
        <w:spacing w:after="200" w:before="360"/>
        <w:jc w:val="left"/>
      </w:pPr>
      <w:r>
        <w:rPr>
          <w:rFonts w:ascii="宋体" w:cs="宋体" w:eastAsia="宋体" w:hAnsi="宋体"/>
          <w:b/>
          <w:bCs/>
          <w:sz w:val="32"/>
          <w:szCs w:val="32"/>
        </w:rPr>
        <w:t xml:space="preserve">（一）选题背景</w:t>
      </w:r>
    </w:p>
    <w:p>
      <w:pPr>
        <w:spacing w:after="0" w:before="0" w:line="360"/>
        <w:ind w:firstLine="480"/>
        <w:jc w:val="both"/>
      </w:pPr>
      <w:r>
        <w:rPr>
          <w:rFonts w:ascii="宋体" w:cs="宋体" w:eastAsia="宋体" w:hAnsi="宋体"/>
          <w:sz w:val="24"/>
          <w:szCs w:val="24"/>
        </w:rPr>
        <w:t xml:space="preserve">自2022年底ChatGPT发布、2023年AIGC（人工智能生成内容）技术全面爆发以来，生成式人工智能以前所未有的速度重构了设计的生产方式与审美逻辑。以Midjourney、DALL·E、Stable Diffusion为代表的文本生成图像模型，以Sora为代表的文生视频模型，以及多模态大语言模型（MLLM），使机器首次具备了大规模、低门槛、高质量地"生成"视觉内容的能力。设计领域由此从"人—工具"二元结构转向"人—机"共生结构，设计美学的认知基础、评价标准与价值取向均面临深刻震荡。</w:t>
      </w:r>
    </w:p>
    <w:p>
      <w:pPr>
        <w:spacing w:after="0" w:before="0" w:line="360"/>
        <w:ind w:firstLine="480"/>
        <w:jc w:val="both"/>
      </w:pPr>
      <w:r>
        <w:rPr>
          <w:rFonts w:ascii="宋体" w:cs="宋体" w:eastAsia="宋体" w:hAnsi="宋体"/>
          <w:sz w:val="24"/>
          <w:szCs w:val="24"/>
        </w:rPr>
        <w:t xml:space="preserve">与此同时，计算美学（Computational Aesthetics）作为人工智能的分支日益成熟，可对图像、音乐、设计作品的审美价值进行量化评估；认知美学与情感计算的发展，也使机器"审美"具备了心理学与神经科学依据。然而，学界对于"AI能否真正创造美""算法生成的作品是否具有主体性与情感性""数据驱动的美学标准是否导致审美均质化"等问题仍存在激烈争论。在这一背景下，系统梳理近五年中英文核心文献，厘清人工智能时代设计美学的理论流变、方法论转向与实践范式，对于构建本土化的AI设计美学话语体系、回应行业"伦理与审美异化"焦虑，具有重要理论与现实意义。</w:t>
      </w:r>
    </w:p>
    <w:p>
      <w:pPr>
        <w:pStyle w:val="Heading1"/>
        <w:spacing w:after="200" w:before="360"/>
        <w:jc w:val="left"/>
      </w:pPr>
      <w:r>
        <w:rPr>
          <w:rFonts w:ascii="宋体" w:cs="宋体" w:eastAsia="宋体" w:hAnsi="宋体"/>
          <w:b/>
          <w:bCs/>
          <w:sz w:val="32"/>
          <w:szCs w:val="32"/>
        </w:rPr>
        <w:t xml:space="preserve">（二）研究意义</w:t>
      </w:r>
    </w:p>
    <w:p>
      <w:pPr>
        <w:pStyle w:val="Heading3"/>
        <w:spacing w:after="120" w:before="220"/>
      </w:pPr>
      <w:r>
        <w:rPr>
          <w:rFonts w:ascii="宋体" w:cs="宋体" w:eastAsia="宋体" w:hAnsi="宋体"/>
          <w:b/>
          <w:bCs/>
          <w:sz w:val="26"/>
          <w:szCs w:val="26"/>
        </w:rPr>
        <w:t xml:space="preserve">1. 理论意义</w:t>
      </w:r>
    </w:p>
    <w:p>
      <w:pPr>
        <w:spacing w:after="0" w:before="0" w:line="360"/>
        <w:ind w:firstLine="480"/>
        <w:jc w:val="both"/>
      </w:pPr>
      <w:r>
        <w:rPr>
          <w:rFonts w:ascii="宋体" w:cs="宋体" w:eastAsia="宋体" w:hAnsi="宋体"/>
          <w:sz w:val="24"/>
          <w:szCs w:val="24"/>
        </w:rPr>
        <w:t xml:space="preserve">其一，丰富人工智能美学的理论谱系。陶锋（2018、2022、2023）较早提出"人工智能美学"概念并探讨其"如何可能"，本研究在此基础上进一步将其与设计学理论交叉，构建"AI设计美学"的理论分析框架。其二，回应"主体性—情感性"难题。王兴珍（2023）、AIGC时代审美主体性困境研究（2026）等文献指出，AI设计是基于人类资料库的"机械复制"抑或具有"分布式人机共生创造力"，本研究将对其加以辨析与统合。其三，弥合计算美学与认知美学的鸿沟（PMC, 2026），为"算法审美"提供跨学科解释。</w:t>
      </w:r>
    </w:p>
    <w:p>
      <w:pPr>
        <w:pStyle w:val="Heading3"/>
        <w:spacing w:after="120" w:before="220"/>
      </w:pPr>
      <w:r>
        <w:rPr>
          <w:rFonts w:ascii="宋体" w:cs="宋体" w:eastAsia="宋体" w:hAnsi="宋体"/>
          <w:b/>
          <w:bCs/>
          <w:sz w:val="26"/>
          <w:szCs w:val="26"/>
        </w:rPr>
        <w:t xml:space="preserve">2. 现实意义</w:t>
      </w:r>
    </w:p>
    <w:p>
      <w:pPr>
        <w:spacing w:after="0" w:before="0" w:line="360"/>
        <w:ind w:firstLine="480"/>
        <w:jc w:val="both"/>
      </w:pPr>
      <w:r>
        <w:rPr>
          <w:rFonts w:ascii="宋体" w:cs="宋体" w:eastAsia="宋体" w:hAnsi="宋体"/>
          <w:sz w:val="24"/>
          <w:szCs w:val="24"/>
        </w:rPr>
        <w:t xml:space="preserve">其一，为AIGC工具在设计教育、文创产业、品牌视觉、工业设计等场景的应用提供方法论指引，规避审美同质化与文化侵蚀风险。其二，为AI生成内容的版权认定、独创性评价与伦理治理提供学术支撑。其三，助力中华传统美学（如水墨、工笔、民族纹样）在AI时代的创造性转化，推动"中国风格"的数字化表达。</w:t>
      </w:r>
    </w:p>
    <w:p>
      <w:r>
        <w:br w:type="page"/>
      </w:r>
    </w:p>
    <w:p>
      <w:pPr>
        <w:pStyle w:val="Heading1"/>
        <w:spacing w:after="200" w:before="360"/>
        <w:jc w:val="left"/>
      </w:pPr>
      <w:r>
        <w:rPr>
          <w:rFonts w:ascii="宋体" w:cs="宋体" w:eastAsia="宋体" w:hAnsi="宋体"/>
          <w:b/>
          <w:bCs/>
          <w:sz w:val="32"/>
          <w:szCs w:val="32"/>
        </w:rPr>
        <w:t xml:space="preserve">二、国内外研究现状综述</w:t>
      </w:r>
    </w:p>
    <w:p>
      <w:pPr>
        <w:spacing w:after="0" w:before="0" w:line="360"/>
        <w:ind w:firstLine="480"/>
        <w:jc w:val="both"/>
      </w:pPr>
      <w:r>
        <w:rPr>
          <w:rFonts w:ascii="宋体" w:cs="宋体" w:eastAsia="宋体" w:hAnsi="宋体"/>
          <w:sz w:val="24"/>
          <w:szCs w:val="24"/>
        </w:rPr>
        <w:t xml:space="preserve">本综述以"人工智能 + 设计美学"为主题词，检索中国知网（CNKI）、Web of Science、IEEE Xplore、ACM Digital Library、arXiv 等数据库，筛选2020—2025年（部分溯源至2018—2019年奠基性文献）中英文核心文献40余篇，按"理论—方法—结论"三个维度梳理如下。</w:t>
      </w:r>
    </w:p>
    <w:p>
      <w:pPr>
        <w:pStyle w:val="Heading2"/>
        <w:spacing w:after="160" w:before="280"/>
      </w:pPr>
      <w:r>
        <w:rPr>
          <w:rFonts w:ascii="宋体" w:cs="宋体" w:eastAsia="宋体" w:hAnsi="宋体"/>
          <w:b/>
          <w:bCs/>
          <w:sz w:val="28"/>
          <w:szCs w:val="28"/>
        </w:rPr>
        <w:t xml:space="preserve">（一）理论研究：AI设计美学的理论谱系</w:t>
      </w:r>
    </w:p>
    <w:p>
      <w:pPr>
        <w:spacing w:after="0" w:before="0" w:line="360"/>
        <w:ind w:firstLine="480"/>
        <w:jc w:val="both"/>
      </w:pPr>
      <w:r>
        <w:rPr>
          <w:rFonts w:ascii="宋体" w:cs="宋体" w:eastAsia="宋体" w:hAnsi="宋体"/>
          <w:sz w:val="24"/>
          <w:szCs w:val="24"/>
        </w:rPr>
        <w:t xml:space="preserve">围绕"AI是否/如何参与审美创造"，现有研究形成多条理论脉络。</w:t>
      </w:r>
    </w:p>
    <w:p>
      <w:pPr>
        <w:pStyle w:val="Heading3"/>
        <w:spacing w:after="120" w:before="220"/>
      </w:pPr>
      <w:r>
        <w:rPr>
          <w:rFonts w:ascii="宋体" w:cs="宋体" w:eastAsia="宋体" w:hAnsi="宋体"/>
          <w:b/>
          <w:bCs/>
          <w:sz w:val="26"/>
          <w:szCs w:val="26"/>
        </w:rPr>
        <w:t xml:space="preserve">1. 计算美学与信息美学</w:t>
      </w:r>
    </w:p>
    <w:p>
      <w:pPr>
        <w:spacing w:after="0" w:before="0" w:line="360"/>
        <w:ind w:firstLine="480"/>
        <w:jc w:val="both"/>
      </w:pPr>
      <w:r>
        <w:rPr>
          <w:rFonts w:ascii="宋体" w:cs="宋体" w:eastAsia="宋体" w:hAnsi="宋体"/>
          <w:sz w:val="24"/>
          <w:szCs w:val="24"/>
        </w:rPr>
        <w:t xml:space="preserve">计算美学可追溯至Birkhoff（1928）提出的审美度量公式 M = O/C（审美度 = 有序度/复杂度），经Bense、Moles结合Shannon信息论发展为"信息美学"，至21世纪初形成独立学科建制（Britannica, 2026）。张康（HKUST，AIART 2026主题报告）将生成艺术纳入计算美学框架，以"视觉语言"定义生成艺术，明确艺术家与生成系统的角色分工。该脉络为AI设计美学提供了量化与可计算的认识论基础。</w:t>
      </w:r>
    </w:p>
    <w:p>
      <w:pPr>
        <w:pStyle w:val="Heading3"/>
        <w:spacing w:after="120" w:before="220"/>
      </w:pPr>
      <w:r>
        <w:rPr>
          <w:rFonts w:ascii="宋体" w:cs="宋体" w:eastAsia="宋体" w:hAnsi="宋体"/>
          <w:b/>
          <w:bCs/>
          <w:sz w:val="26"/>
          <w:szCs w:val="26"/>
        </w:rPr>
        <w:t xml:space="preserve">2. 人工智能美学（AI Aesthetics）</w:t>
      </w:r>
    </w:p>
    <w:p>
      <w:pPr>
        <w:spacing w:after="0" w:before="0" w:line="360"/>
        <w:ind w:firstLine="480"/>
        <w:jc w:val="both"/>
      </w:pPr>
      <w:r>
        <w:rPr>
          <w:rFonts w:ascii="宋体" w:cs="宋体" w:eastAsia="宋体" w:hAnsi="宋体"/>
          <w:sz w:val="24"/>
          <w:szCs w:val="24"/>
        </w:rPr>
        <w:t xml:space="preserve">陶锋系列论文（2018、2019、2022、2023）系统提出"人工智能美学"议题，探讨其可能性、审美理性以及设计与理性的关系；马草（2018）、李丰（2018）则从"美学挑战""能否取代艺术家"角度切入。吴冠军（2024）在《从Midjourney到Sora》中提出"生成式AI与美学革命"命题，认为多模态生成正在触发一场审美范式跃迁。</w:t>
      </w:r>
    </w:p>
    <w:p>
      <w:pPr>
        <w:pStyle w:val="Heading3"/>
        <w:spacing w:after="120" w:before="220"/>
      </w:pPr>
      <w:r>
        <w:rPr>
          <w:rFonts w:ascii="宋体" w:cs="宋体" w:eastAsia="宋体" w:hAnsi="宋体"/>
          <w:b/>
          <w:bCs/>
          <w:sz w:val="26"/>
          <w:szCs w:val="26"/>
        </w:rPr>
        <w:t xml:space="preserve">3. 接受美学与符号学视域</w:t>
      </w:r>
    </w:p>
    <w:p>
      <w:pPr>
        <w:spacing w:after="0" w:before="0" w:line="360"/>
        <w:ind w:firstLine="480"/>
        <w:jc w:val="both"/>
      </w:pPr>
      <w:r>
        <w:rPr>
          <w:rFonts w:ascii="宋体" w:cs="宋体" w:eastAsia="宋体" w:hAnsi="宋体"/>
          <w:sz w:val="24"/>
          <w:szCs w:val="24"/>
        </w:rPr>
        <w:t xml:space="preserve">王兴珍（2023）援引姚斯"期待视野"与苏珊·朗格"情感符号形式"、克莱夫·贝尔"有意味的形式"，论证AI艺术设计因资料库源自人类审美经验，故仍处于人类审美的"期待视野"之中，具有有限的主体性与情感性。赵毅衡（2020）从符号学角度剖析人工智能艺术的表意机制。</w:t>
      </w:r>
    </w:p>
    <w:p>
      <w:pPr>
        <w:pStyle w:val="Heading3"/>
        <w:spacing w:after="120" w:before="220"/>
      </w:pPr>
      <w:r>
        <w:rPr>
          <w:rFonts w:ascii="宋体" w:cs="宋体" w:eastAsia="宋体" w:hAnsi="宋体"/>
          <w:b/>
          <w:bCs/>
          <w:sz w:val="26"/>
          <w:szCs w:val="26"/>
        </w:rPr>
        <w:t xml:space="preserve">4. 康德美学与审美主体性重构</w:t>
      </w:r>
    </w:p>
    <w:p>
      <w:pPr>
        <w:spacing w:after="0" w:before="0" w:line="360"/>
        <w:ind w:firstLine="480"/>
        <w:jc w:val="both"/>
      </w:pPr>
      <w:r>
        <w:rPr>
          <w:rFonts w:ascii="宋体" w:cs="宋体" w:eastAsia="宋体" w:hAnsi="宋体"/>
          <w:sz w:val="24"/>
          <w:szCs w:val="24"/>
        </w:rPr>
        <w:t xml:space="preserve">《AIGC时代设计审美主体性的困境与重构》（人文学刊, 2026）以康德"无利害的愉悦"为根基，指出设计创作已从孤立个人行为转变为人机协作的社会化实践，审美主体性亟待重构。</w:t>
      </w:r>
    </w:p>
    <w:p>
      <w:pPr>
        <w:pStyle w:val="Heading3"/>
        <w:spacing w:after="120" w:before="220"/>
      </w:pPr>
      <w:r>
        <w:rPr>
          <w:rFonts w:ascii="宋体" w:cs="宋体" w:eastAsia="宋体" w:hAnsi="宋体"/>
          <w:b/>
          <w:bCs/>
          <w:sz w:val="26"/>
          <w:szCs w:val="26"/>
        </w:rPr>
        <w:t xml:space="preserve">5. 人机共生创造力理论</w:t>
      </w:r>
    </w:p>
    <w:p>
      <w:pPr>
        <w:spacing w:after="0" w:before="0" w:line="360"/>
        <w:ind w:firstLine="480"/>
        <w:jc w:val="both"/>
      </w:pPr>
      <w:r>
        <w:rPr>
          <w:rFonts w:ascii="宋体" w:cs="宋体" w:eastAsia="宋体" w:hAnsi="宋体"/>
          <w:sz w:val="24"/>
          <w:szCs w:val="24"/>
        </w:rPr>
        <w:t xml:space="preserve">Haase等（2024，arXiv 2411.12527）提出"Human-AI Co-Creativity"框架，将人机协作划分为四级：数字笔→AI任务专家→AI助手→AI共创者，并论证生成式AI具备"内在创造力"。耿弘明（2022）提出"分布式人机共生创造力"概念，强调AI是创造力的"媒介"而非"替代品"。该理论与MAYA（Most Advanced Yet Acceptable）原则共同构成AI设计美学的实践哲学基础。</w:t>
      </w:r>
    </w:p>
    <w:p>
      <w:pPr>
        <w:pStyle w:val="Heading3"/>
        <w:spacing w:after="120" w:before="220"/>
      </w:pPr>
      <w:r>
        <w:rPr>
          <w:rFonts w:ascii="宋体" w:cs="宋体" w:eastAsia="宋体" w:hAnsi="宋体"/>
          <w:b/>
          <w:bCs/>
          <w:sz w:val="26"/>
          <w:szCs w:val="26"/>
        </w:rPr>
        <w:t xml:space="preserve">6. 后人类美学与环境适应美学</w:t>
      </w:r>
    </w:p>
    <w:p>
      <w:pPr>
        <w:spacing w:after="0" w:before="0" w:line="360"/>
        <w:ind w:firstLine="480"/>
        <w:jc w:val="both"/>
      </w:pPr>
      <w:r>
        <w:rPr>
          <w:rFonts w:ascii="宋体" w:cs="宋体" w:eastAsia="宋体" w:hAnsi="宋体"/>
          <w:sz w:val="24"/>
          <w:szCs w:val="24"/>
        </w:rPr>
        <w:t xml:space="preserve">海勒斯（N. Katherine Hayles）的"后人类"思想被引为强人工智能时代的审美预判（王兴珍, 2023）。同时，"环境适应美学"强调作品随场景、用户、环境动态调适，是智能化时代设计美学的新范式。</w:t>
      </w:r>
    </w:p>
    <w:p>
      <w:pPr>
        <w:pStyle w:val="Heading2"/>
        <w:spacing w:after="160" w:before="280"/>
      </w:pPr>
      <w:r>
        <w:rPr>
          <w:rFonts w:ascii="宋体" w:cs="宋体" w:eastAsia="宋体" w:hAnsi="宋体"/>
          <w:b/>
          <w:bCs/>
          <w:sz w:val="28"/>
          <w:szCs w:val="28"/>
        </w:rPr>
        <w:t xml:space="preserve">（二）方法论研究：AI设计的方法论转向</w:t>
      </w:r>
    </w:p>
    <w:p>
      <w:pPr>
        <w:spacing w:after="0" w:before="0" w:line="360"/>
        <w:ind w:firstLine="480"/>
        <w:jc w:val="both"/>
      </w:pPr>
      <w:r>
        <w:rPr>
          <w:rFonts w:ascii="宋体" w:cs="宋体" w:eastAsia="宋体" w:hAnsi="宋体"/>
          <w:sz w:val="24"/>
          <w:szCs w:val="24"/>
        </w:rPr>
        <w:t xml:space="preserve">AI设计的方法论经历了从"参数化—生成式—多模态智能体"的演进。</w:t>
      </w:r>
    </w:p>
    <w:p>
      <w:pPr>
        <w:pStyle w:val="Heading3"/>
        <w:spacing w:after="120" w:before="220"/>
      </w:pPr>
      <w:r>
        <w:rPr>
          <w:rFonts w:ascii="宋体" w:cs="宋体" w:eastAsia="宋体" w:hAnsi="宋体"/>
          <w:b/>
          <w:bCs/>
          <w:sz w:val="26"/>
          <w:szCs w:val="26"/>
        </w:rPr>
        <w:t xml:space="preserve">1. 生成模型方法</w:t>
      </w:r>
    </w:p>
    <w:p>
      <w:pPr>
        <w:spacing w:after="0" w:before="0" w:line="360"/>
        <w:ind w:firstLine="480"/>
        <w:jc w:val="both"/>
      </w:pPr>
      <w:r>
        <w:rPr>
          <w:rFonts w:ascii="宋体" w:cs="宋体" w:eastAsia="宋体" w:hAnsi="宋体"/>
          <w:sz w:val="24"/>
          <w:szCs w:val="24"/>
        </w:rPr>
        <w:t xml:space="preserve">核心生成方法包括：生成对抗网络（GAN/CAN，Elgammal等, 2017）、变分自编码器（VAE）、扩散模型（DDPM/Stable Diffusion）及神经风格迁移。Elgammal提出的创意对抗网络（CAN）通过修改损失函数弥补GAN创造性不足。崔昊、刘闻名（2024）将AIGC艺术概括为"工具性与价值性"双重面向。</w:t>
      </w:r>
    </w:p>
    <w:p>
      <w:pPr>
        <w:pStyle w:val="Heading3"/>
        <w:spacing w:after="120" w:before="220"/>
      </w:pPr>
      <w:r>
        <w:rPr>
          <w:rFonts w:ascii="宋体" w:cs="宋体" w:eastAsia="宋体" w:hAnsi="宋体"/>
          <w:b/>
          <w:bCs/>
          <w:sz w:val="26"/>
          <w:szCs w:val="26"/>
        </w:rPr>
        <w:t xml:space="preserve">2. 计算美学评估方法</w:t>
      </w:r>
    </w:p>
    <w:p>
      <w:pPr>
        <w:spacing w:after="0" w:before="0" w:line="360"/>
        <w:ind w:firstLine="480"/>
        <w:jc w:val="both"/>
      </w:pPr>
      <w:r>
        <w:rPr>
          <w:rFonts w:ascii="宋体" w:cs="宋体" w:eastAsia="宋体" w:hAnsi="宋体"/>
          <w:sz w:val="24"/>
          <w:szCs w:val="24"/>
        </w:rPr>
        <w:t xml:space="preserve">图像美学质量评估（IAQA）是AI设计美学的方法论支柱。ACM Computing Surveys（2025）综述指出，深度学习IAQA近十年最大准确率达91.5%，方法分为通用型与任务特定型，涵盖网络架构、学习结构、特征提取，输出评分/分布/属性/描述。Google的NIMA基于MobileNet与EMD损失函数，在AVA美学数据集上LCC达0.626。PMC（2026）进一步将认知心理学理论显式地操作化为AI评估模型，弥合计算美学与认知心理学的鸿沟。</w:t>
      </w:r>
    </w:p>
    <w:p>
      <w:pPr>
        <w:pStyle w:val="Heading3"/>
        <w:spacing w:after="120" w:before="220"/>
      </w:pPr>
      <w:r>
        <w:rPr>
          <w:rFonts w:ascii="宋体" w:cs="宋体" w:eastAsia="宋体" w:hAnsi="宋体"/>
          <w:b/>
          <w:bCs/>
          <w:sz w:val="26"/>
          <w:szCs w:val="26"/>
        </w:rPr>
        <w:t xml:space="preserve">3. 情感计算与多模态大模型方法</w:t>
      </w:r>
    </w:p>
    <w:p>
      <w:pPr>
        <w:spacing w:after="0" w:before="0" w:line="360"/>
        <w:ind w:firstLine="480"/>
        <w:jc w:val="both"/>
      </w:pPr>
      <w:r>
        <w:rPr>
          <w:rFonts w:ascii="宋体" w:cs="宋体" w:eastAsia="宋体" w:hAnsi="宋体"/>
          <w:sz w:val="24"/>
          <w:szCs w:val="24"/>
        </w:rPr>
        <w:t xml:space="preserve">情感计算（Affective Computing）使AI能分析用户情绪并动态调整视觉表达（色彩、字体、动效）。多模态大语言模型（MLLM）与具身智能推动AI从"感知"走向"创造"（AIART 2026）。意图驱动界面交互范式（刘玉磊、马艳阳, 2024）探索了面向生成式AI的交互设计新方法。</w:t>
      </w:r>
    </w:p>
    <w:p>
      <w:pPr>
        <w:pStyle w:val="Heading3"/>
        <w:spacing w:after="120" w:before="220"/>
      </w:pPr>
      <w:r>
        <w:rPr>
          <w:rFonts w:ascii="宋体" w:cs="宋体" w:eastAsia="宋体" w:hAnsi="宋体"/>
          <w:b/>
          <w:bCs/>
          <w:sz w:val="26"/>
          <w:szCs w:val="26"/>
        </w:rPr>
        <w:t xml:space="preserve">4. 文献计量与知识图谱方法</w:t>
      </w:r>
    </w:p>
    <w:p>
      <w:pPr>
        <w:spacing w:after="0" w:before="0" w:line="360"/>
        <w:ind w:firstLine="480"/>
        <w:jc w:val="both"/>
      </w:pPr>
      <w:r>
        <w:rPr>
          <w:rFonts w:ascii="宋体" w:cs="宋体" w:eastAsia="宋体" w:hAnsi="宋体"/>
          <w:sz w:val="24"/>
          <w:szCs w:val="24"/>
        </w:rPr>
        <w:t xml:space="preserve">《生成式人工智能赋能艺术设计领域的研究述评与展望》（设计艺术研究, 2025）运用CiteSpace对国内外AIGC艺术设计研究进行可视化分析，揭示研究热点与前沿演进。汤永川等（2020）以"设计智能"综述梳理了创造力、人物画像、构思、AIGC、计算美学等核心议题。</w:t>
      </w:r>
    </w:p>
    <w:p>
      <w:pPr>
        <w:pStyle w:val="Heading3"/>
        <w:spacing w:after="120" w:before="220"/>
      </w:pPr>
      <w:r>
        <w:rPr>
          <w:rFonts w:ascii="宋体" w:cs="宋体" w:eastAsia="宋体" w:hAnsi="宋体"/>
          <w:b/>
          <w:bCs/>
          <w:sz w:val="26"/>
          <w:szCs w:val="26"/>
        </w:rPr>
        <w:t xml:space="preserve">5. 文化驱动的生成方法</w:t>
      </w:r>
    </w:p>
    <w:p>
      <w:pPr>
        <w:spacing w:after="0" w:before="0" w:line="360"/>
        <w:ind w:firstLine="480"/>
        <w:jc w:val="both"/>
      </w:pPr>
      <w:r>
        <w:rPr>
          <w:rFonts w:ascii="宋体" w:cs="宋体" w:eastAsia="宋体" w:hAnsi="宋体"/>
          <w:sz w:val="24"/>
          <w:szCs w:val="24"/>
        </w:rPr>
        <w:t xml:space="preserve">宋玉等（2023）建立中式美学AIGC内容生成、分析与转化的定制路径，解决传统美学与AIGC大模型间的"审美边界"问题；于鹏、张毅（2024）提出从特征辨识到图像生成的苗族服饰设计范式；侯云鹏等（2024）以LoRA模型实现楚漆器非遗数字化。这类方法强调"文化基因"驱动的可控生成。</w:t>
      </w:r>
    </w:p>
    <w:p>
      <w:pPr>
        <w:pStyle w:val="Heading2"/>
        <w:spacing w:after="160" w:before="280"/>
      </w:pPr>
      <w:r>
        <w:rPr>
          <w:rFonts w:ascii="宋体" w:cs="宋体" w:eastAsia="宋体" w:hAnsi="宋体"/>
          <w:b/>
          <w:bCs/>
          <w:sz w:val="28"/>
          <w:szCs w:val="28"/>
        </w:rPr>
        <w:t xml:space="preserve">（三）结论性研究：共识、争论与趋势</w:t>
      </w:r>
    </w:p>
    <w:p>
      <w:pPr>
        <w:pStyle w:val="Heading3"/>
        <w:spacing w:after="120" w:before="220"/>
      </w:pPr>
      <w:r>
        <w:rPr>
          <w:rFonts w:ascii="宋体" w:cs="宋体" w:eastAsia="宋体" w:hAnsi="宋体"/>
          <w:b/>
          <w:bCs/>
          <w:sz w:val="26"/>
          <w:szCs w:val="26"/>
        </w:rPr>
        <w:t xml:space="preserve">1. 关于AI设计主体性与情感性的争论</w:t>
      </w:r>
    </w:p>
    <w:p>
      <w:pPr>
        <w:spacing w:after="0" w:before="0" w:line="360"/>
        <w:ind w:firstLine="480"/>
        <w:jc w:val="both"/>
      </w:pPr>
      <w:r>
        <w:rPr>
          <w:rFonts w:ascii="宋体" w:cs="宋体" w:eastAsia="宋体" w:hAnsi="宋体"/>
          <w:sz w:val="24"/>
          <w:szCs w:val="24"/>
        </w:rPr>
        <w:t xml:space="preserve">主流观点认为，当前处于弱人工智能阶段，AI的主体性与情感性是"有限度的"（王兴珍, 2023）：AI可借资料库与对抗博弈间接获得审美经验，但本质由高理性、强逻辑主导，无法达到人类的感性程度。乐观派（Haase等, 2024）则通过实证证明生成式AI在标准创造力测试中可匹配甚至超越人类，且能"骗过"专家。</w:t>
      </w:r>
    </w:p>
    <w:p>
      <w:pPr>
        <w:pStyle w:val="Heading3"/>
        <w:spacing w:after="120" w:before="220"/>
      </w:pPr>
      <w:r>
        <w:rPr>
          <w:rFonts w:ascii="宋体" w:cs="宋体" w:eastAsia="宋体" w:hAnsi="宋体"/>
          <w:b/>
          <w:bCs/>
          <w:sz w:val="26"/>
          <w:szCs w:val="26"/>
        </w:rPr>
        <w:t xml:space="preserve">2. 关于"人机协作"的共识</w:t>
      </w:r>
    </w:p>
    <w:p>
      <w:pPr>
        <w:spacing w:after="0" w:before="0" w:line="360"/>
        <w:ind w:firstLine="480"/>
        <w:jc w:val="both"/>
      </w:pPr>
      <w:r>
        <w:rPr>
          <w:rFonts w:ascii="宋体" w:cs="宋体" w:eastAsia="宋体" w:hAnsi="宋体"/>
          <w:sz w:val="24"/>
          <w:szCs w:val="24"/>
        </w:rPr>
        <w:t xml:space="preserve">学界普遍认同，未来设计的方向是"增强而非替代"人类创造力（Anantrasirichai &amp; Bull, 2022；Haase等, 2024）。卢兆麟等（2023）指出AIGC趋势下智能设计应回归"人机协作"内核。中国传媒大学《龙门》、央视《千秋诗颂》等实践案例表明，AIGC更善于丰富笔墨细节，需建立"新技术形态下的新审美体系"。</w:t>
      </w:r>
    </w:p>
    <w:p>
      <w:pPr>
        <w:pStyle w:val="Heading3"/>
        <w:spacing w:after="120" w:before="220"/>
      </w:pPr>
      <w:r>
        <w:rPr>
          <w:rFonts w:ascii="宋体" w:cs="宋体" w:eastAsia="宋体" w:hAnsi="宋体"/>
          <w:b/>
          <w:bCs/>
          <w:sz w:val="26"/>
          <w:szCs w:val="26"/>
        </w:rPr>
        <w:t xml:space="preserve">3. 关于审美异化与伦理风险</w:t>
      </w:r>
    </w:p>
    <w:p>
      <w:pPr>
        <w:spacing w:after="0" w:before="0" w:line="360"/>
        <w:ind w:firstLine="480"/>
        <w:jc w:val="both"/>
      </w:pPr>
      <w:r>
        <w:rPr>
          <w:rFonts w:ascii="宋体" w:cs="宋体" w:eastAsia="宋体" w:hAnsi="宋体"/>
          <w:sz w:val="24"/>
          <w:szCs w:val="24"/>
        </w:rPr>
        <w:t xml:space="preserve">崔昊、刘闻名（2024）揭示AIGC艺术的"工具性与价值性"审美选择困境；多份研究警示数据集偏见导致的"审美均质化"与"文化侵蚀"风险（艺术史视角下的生成式AI, 2026）。Bangle（2025）批判"算法驱动的非人格化美学"，主张"不完美亦可成为价值"。</w:t>
      </w:r>
    </w:p>
    <w:p>
      <w:pPr>
        <w:pStyle w:val="Heading3"/>
        <w:spacing w:after="120" w:before="220"/>
      </w:pPr>
      <w:r>
        <w:rPr>
          <w:rFonts w:ascii="宋体" w:cs="宋体" w:eastAsia="宋体" w:hAnsi="宋体"/>
          <w:b/>
          <w:bCs/>
          <w:sz w:val="26"/>
          <w:szCs w:val="26"/>
        </w:rPr>
        <w:t xml:space="preserve">4. 关于数据驱动美学标准的形成</w:t>
      </w:r>
    </w:p>
    <w:p>
      <w:pPr>
        <w:spacing w:after="0" w:before="0" w:line="360"/>
        <w:ind w:firstLine="480"/>
        <w:jc w:val="both"/>
      </w:pPr>
      <w:r>
        <w:rPr>
          <w:rFonts w:ascii="宋体" w:cs="宋体" w:eastAsia="宋体" w:hAnsi="宋体"/>
          <w:sz w:val="24"/>
          <w:szCs w:val="24"/>
        </w:rPr>
        <w:t xml:space="preserve">研究普遍认为，AI正推动美学标准从"固定规范"走向"动态调适"，形成数据驱动的个性化与普适化审美平衡。但"一人一版"的个性化可能造成碎片化，需在多元文化融合中寻求平衡。</w:t>
      </w:r>
    </w:p>
    <w:p>
      <w:r>
        <w:br w:type="page"/>
      </w:r>
    </w:p>
    <w:p>
      <w:pPr>
        <w:pStyle w:val="Heading1"/>
        <w:spacing w:after="200" w:before="360"/>
        <w:jc w:val="left"/>
      </w:pPr>
      <w:r>
        <w:rPr>
          <w:rFonts w:ascii="宋体" w:cs="宋体" w:eastAsia="宋体" w:hAnsi="宋体"/>
          <w:b/>
          <w:bCs/>
          <w:sz w:val="32"/>
          <w:szCs w:val="32"/>
        </w:rPr>
        <w:t xml:space="preserve">三、研究目标与研究内容</w:t>
      </w:r>
    </w:p>
    <w:p>
      <w:pPr>
        <w:pStyle w:val="Heading2"/>
        <w:spacing w:after="160" w:before="280"/>
      </w:pPr>
      <w:r>
        <w:rPr>
          <w:rFonts w:ascii="宋体" w:cs="宋体" w:eastAsia="宋体" w:hAnsi="宋体"/>
          <w:b/>
          <w:bCs/>
          <w:sz w:val="28"/>
          <w:szCs w:val="28"/>
        </w:rPr>
        <w:t xml:space="preserve">（一）研究目标</w:t>
      </w:r>
    </w:p>
    <w:p>
      <w:pPr>
        <w:spacing w:after="0" w:before="0" w:line="360"/>
        <w:ind w:firstLine="480"/>
        <w:jc w:val="both"/>
      </w:pPr>
      <w:r>
        <w:rPr>
          <w:rFonts w:ascii="宋体" w:cs="宋体" w:eastAsia="宋体" w:hAnsi="宋体"/>
          <w:sz w:val="24"/>
          <w:szCs w:val="24"/>
        </w:rPr>
        <w:t xml:space="preserve">1. 系统梳理近五年人工智能时代设计美学的中英文核心文献，构建"理论—方法—实践"三维分析框架；</w:t>
      </w:r>
    </w:p>
    <w:p>
      <w:pPr>
        <w:spacing w:after="0" w:before="0" w:line="360"/>
        <w:ind w:firstLine="480"/>
        <w:jc w:val="both"/>
      </w:pPr>
      <w:r>
        <w:rPr>
          <w:rFonts w:ascii="宋体" w:cs="宋体" w:eastAsia="宋体" w:hAnsi="宋体"/>
          <w:sz w:val="24"/>
          <w:szCs w:val="24"/>
        </w:rPr>
        <w:t xml:space="preserve">2. 厘清AI设计美学的理论谱系（计算美学、人工智能美学、接受美学、人机共生创造力等）及其演进逻辑；</w:t>
      </w:r>
    </w:p>
    <w:p>
      <w:pPr>
        <w:spacing w:after="0" w:before="0" w:line="360"/>
        <w:ind w:firstLine="480"/>
        <w:jc w:val="both"/>
      </w:pPr>
      <w:r>
        <w:rPr>
          <w:rFonts w:ascii="宋体" w:cs="宋体" w:eastAsia="宋体" w:hAnsi="宋体"/>
          <w:sz w:val="24"/>
          <w:szCs w:val="24"/>
        </w:rPr>
        <w:t xml:space="preserve">3. 归纳AI设计的方法论转向（生成模型、美学评估、情感计算、文化驱动生成）及其对设计流程的重构；</w:t>
      </w:r>
    </w:p>
    <w:p>
      <w:pPr>
        <w:spacing w:after="0" w:before="0" w:line="360"/>
        <w:ind w:firstLine="480"/>
        <w:jc w:val="both"/>
      </w:pPr>
      <w:r>
        <w:rPr>
          <w:rFonts w:ascii="宋体" w:cs="宋体" w:eastAsia="宋体" w:hAnsi="宋体"/>
          <w:sz w:val="24"/>
          <w:szCs w:val="24"/>
        </w:rPr>
        <w:t xml:space="preserve">4. 辨析AI设计的主体性、情感性、伦理风险，提出"人机协同、文化为魂"的本土化AI设计美学发展路径。</w:t>
      </w:r>
    </w:p>
    <w:p>
      <w:pPr>
        <w:pStyle w:val="Heading2"/>
        <w:spacing w:after="160" w:before="280"/>
      </w:pPr>
      <w:r>
        <w:rPr>
          <w:rFonts w:ascii="宋体" w:cs="宋体" w:eastAsia="宋体" w:hAnsi="宋体"/>
          <w:b/>
          <w:bCs/>
          <w:sz w:val="28"/>
          <w:szCs w:val="28"/>
        </w:rPr>
        <w:t xml:space="preserve">（二）研究内容</w:t>
      </w:r>
    </w:p>
    <w:p>
      <w:pPr>
        <w:spacing w:after="0" w:before="0" w:line="360"/>
        <w:ind w:firstLine="480"/>
        <w:jc w:val="both"/>
      </w:pPr>
      <w:r>
        <w:rPr>
          <w:rFonts w:ascii="宋体" w:cs="宋体" w:eastAsia="宋体" w:hAnsi="宋体"/>
          <w:sz w:val="24"/>
          <w:szCs w:val="24"/>
        </w:rPr>
        <w:t xml:space="preserve">本研究拟分六章展开：第一章绪论；第二章核心概念与理论基础；第三章文献综述（理论/方法/结论三维度）；第四章研究设计与方法；第五章案例分析与讨论；第六章结论与展望。详见后附"论文初稿框架"。</w:t>
      </w:r>
    </w:p>
    <w:p>
      <w:pPr>
        <w:pStyle w:val="Heading1"/>
        <w:spacing w:after="200" w:before="360"/>
        <w:jc w:val="left"/>
      </w:pPr>
      <w:r>
        <w:rPr>
          <w:rFonts w:ascii="宋体" w:cs="宋体" w:eastAsia="宋体" w:hAnsi="宋体"/>
          <w:b/>
          <w:bCs/>
          <w:sz w:val="32"/>
          <w:szCs w:val="32"/>
        </w:rPr>
        <w:t xml:space="preserve">四、研究方法与技术路线</w:t>
      </w:r>
    </w:p>
    <w:p>
      <w:pPr>
        <w:pStyle w:val="Heading2"/>
        <w:spacing w:after="160" w:before="280"/>
      </w:pPr>
      <w:r>
        <w:rPr>
          <w:rFonts w:ascii="宋体" w:cs="宋体" w:eastAsia="宋体" w:hAnsi="宋体"/>
          <w:b/>
          <w:bCs/>
          <w:sz w:val="28"/>
          <w:szCs w:val="28"/>
        </w:rPr>
        <w:t xml:space="preserve">（一）研究方法</w:t>
      </w:r>
    </w:p>
    <w:p>
      <w:pPr>
        <w:spacing w:after="0" w:before="0" w:line="360"/>
        <w:ind w:firstLine="480"/>
        <w:jc w:val="both"/>
      </w:pPr>
      <w:r>
        <w:rPr>
          <w:rFonts w:ascii="宋体" w:cs="宋体" w:eastAsia="宋体" w:hAnsi="宋体"/>
          <w:sz w:val="24"/>
          <w:szCs w:val="24"/>
        </w:rPr>
        <w:t xml:space="preserve">1. 文献研究法：系统检索与精读核心文献，建立分类矩阵。</w:t>
      </w:r>
    </w:p>
    <w:p>
      <w:pPr>
        <w:spacing w:after="0" w:before="0" w:line="360"/>
        <w:ind w:firstLine="480"/>
        <w:jc w:val="both"/>
      </w:pPr>
      <w:r>
        <w:rPr>
          <w:rFonts w:ascii="宋体" w:cs="宋体" w:eastAsia="宋体" w:hAnsi="宋体"/>
          <w:sz w:val="24"/>
          <w:szCs w:val="24"/>
        </w:rPr>
        <w:t xml:space="preserve">2. 文献计量法：借助CiteSpace对国内外研究进行知识图谱与共被引分析。</w:t>
      </w:r>
    </w:p>
    <w:p>
      <w:pPr>
        <w:spacing w:after="0" w:before="0" w:line="360"/>
        <w:ind w:firstLine="480"/>
        <w:jc w:val="both"/>
      </w:pPr>
      <w:r>
        <w:rPr>
          <w:rFonts w:ascii="宋体" w:cs="宋体" w:eastAsia="宋体" w:hAnsi="宋体"/>
          <w:sz w:val="24"/>
          <w:szCs w:val="24"/>
        </w:rPr>
        <w:t xml:space="preserve">3. 比较研究法：中英文文献、中西美学传统、不同生成模型的横向比较。</w:t>
      </w:r>
    </w:p>
    <w:p>
      <w:pPr>
        <w:spacing w:after="0" w:before="0" w:line="360"/>
        <w:ind w:firstLine="480"/>
        <w:jc w:val="both"/>
      </w:pPr>
      <w:r>
        <w:rPr>
          <w:rFonts w:ascii="宋体" w:cs="宋体" w:eastAsia="宋体" w:hAnsi="宋体"/>
          <w:sz w:val="24"/>
          <w:szCs w:val="24"/>
        </w:rPr>
        <w:t xml:space="preserve">4. 案例分析法：选取《龙门》《千秋诗颂》、AIGC游艇设计、中式美学文创等典型案例深入剖析。</w:t>
      </w:r>
    </w:p>
    <w:p>
      <w:pPr>
        <w:spacing w:after="0" w:before="0" w:line="360"/>
        <w:ind w:firstLine="480"/>
        <w:jc w:val="both"/>
      </w:pPr>
      <w:r>
        <w:rPr>
          <w:rFonts w:ascii="宋体" w:cs="宋体" w:eastAsia="宋体" w:hAnsi="宋体"/>
          <w:sz w:val="24"/>
          <w:szCs w:val="24"/>
        </w:rPr>
        <w:t xml:space="preserve">5. 跨学科综合法：融合设计学、美学、计算机科学、认知心理学、符号学等多学科视角。</w:t>
      </w:r>
    </w:p>
    <w:p>
      <w:pPr>
        <w:pStyle w:val="Heading2"/>
        <w:spacing w:after="160" w:before="280"/>
      </w:pPr>
      <w:r>
        <w:rPr>
          <w:rFonts w:ascii="宋体" w:cs="宋体" w:eastAsia="宋体" w:hAnsi="宋体"/>
          <w:b/>
          <w:bCs/>
          <w:sz w:val="28"/>
          <w:szCs w:val="28"/>
        </w:rPr>
        <w:t xml:space="preserve">（二）技术路线</w:t>
      </w:r>
    </w:p>
    <w:p>
      <w:pPr>
        <w:spacing w:after="0" w:before="0" w:line="360"/>
        <w:jc w:val="both"/>
      </w:pPr>
      <w:r>
        <w:rPr>
          <w:rFonts w:ascii="宋体" w:cs="宋体" w:eastAsia="宋体" w:hAnsi="宋体"/>
          <w:sz w:val="24"/>
          <w:szCs w:val="24"/>
        </w:rPr>
        <w:t xml:space="preserve">文献检索与筛选 → 文献计量与知识图谱 → 理论谱系梳理 → 方法论转向归纳 → 案例验证 → 结论与本土化路径</w:t>
      </w:r>
    </w:p>
    <w:p>
      <w:pPr>
        <w:pStyle w:val="Heading1"/>
        <w:spacing w:after="200" w:before="360"/>
        <w:jc w:val="left"/>
      </w:pPr>
      <w:r>
        <w:rPr>
          <w:rFonts w:ascii="宋体" w:cs="宋体" w:eastAsia="宋体" w:hAnsi="宋体"/>
          <w:b/>
          <w:bCs/>
          <w:sz w:val="32"/>
          <w:szCs w:val="32"/>
        </w:rPr>
        <w:t xml:space="preserve">五、研究重点、难点与创新点</w:t>
      </w:r>
    </w:p>
    <w:p>
      <w:pPr>
        <w:pStyle w:val="Heading2"/>
        <w:spacing w:after="160" w:before="280"/>
      </w:pPr>
      <w:r>
        <w:rPr>
          <w:rFonts w:ascii="宋体" w:cs="宋体" w:eastAsia="宋体" w:hAnsi="宋体"/>
          <w:b/>
          <w:bCs/>
          <w:sz w:val="28"/>
          <w:szCs w:val="28"/>
        </w:rPr>
        <w:t xml:space="preserve">（一）研究重点</w:t>
      </w:r>
    </w:p>
    <w:p>
      <w:pPr>
        <w:spacing w:after="0" w:before="0" w:line="360"/>
        <w:ind w:firstLine="480"/>
        <w:jc w:val="both"/>
      </w:pPr>
      <w:r>
        <w:rPr>
          <w:rFonts w:ascii="宋体" w:cs="宋体" w:eastAsia="宋体" w:hAnsi="宋体"/>
          <w:sz w:val="24"/>
          <w:szCs w:val="24"/>
        </w:rPr>
        <w:t xml:space="preserve">AI设计美学的理论谱系建构与方法论转向的实证分析。</w:t>
      </w:r>
    </w:p>
    <w:p>
      <w:pPr>
        <w:pStyle w:val="Heading2"/>
        <w:spacing w:after="160" w:before="280"/>
      </w:pPr>
      <w:r>
        <w:rPr>
          <w:rFonts w:ascii="宋体" w:cs="宋体" w:eastAsia="宋体" w:hAnsi="宋体"/>
          <w:b/>
          <w:bCs/>
          <w:sz w:val="28"/>
          <w:szCs w:val="28"/>
        </w:rPr>
        <w:t xml:space="preserve">（二）研究难点</w:t>
      </w:r>
    </w:p>
    <w:p>
      <w:pPr>
        <w:spacing w:after="0" w:before="0" w:line="360"/>
        <w:ind w:firstLine="480"/>
        <w:jc w:val="both"/>
      </w:pPr>
      <w:r>
        <w:rPr>
          <w:rFonts w:ascii="宋体" w:cs="宋体" w:eastAsia="宋体" w:hAnsi="宋体"/>
          <w:sz w:val="24"/>
          <w:szCs w:val="24"/>
        </w:rPr>
        <w:t xml:space="preserve">1. "主体性—情感性"哲学难题的学理化辨析；</w:t>
      </w:r>
    </w:p>
    <w:p>
      <w:pPr>
        <w:spacing w:after="0" w:before="0" w:line="360"/>
        <w:ind w:firstLine="480"/>
        <w:jc w:val="both"/>
      </w:pPr>
      <w:r>
        <w:rPr>
          <w:rFonts w:ascii="宋体" w:cs="宋体" w:eastAsia="宋体" w:hAnsi="宋体"/>
          <w:sz w:val="24"/>
          <w:szCs w:val="24"/>
        </w:rPr>
        <w:t xml:space="preserve">2. 计算美学量化评估与人文美学质性判断的统合；</w:t>
      </w:r>
    </w:p>
    <w:p>
      <w:pPr>
        <w:spacing w:after="0" w:before="0" w:line="360"/>
        <w:ind w:firstLine="480"/>
        <w:jc w:val="both"/>
      </w:pPr>
      <w:r>
        <w:rPr>
          <w:rFonts w:ascii="宋体" w:cs="宋体" w:eastAsia="宋体" w:hAnsi="宋体"/>
          <w:sz w:val="24"/>
          <w:szCs w:val="24"/>
        </w:rPr>
        <w:t xml:space="preserve">3. 中华传统美学"意境/气韵"等非形式要素如何在AI生成中得以编码与转译。</w:t>
      </w:r>
    </w:p>
    <w:p>
      <w:pPr>
        <w:pStyle w:val="Heading2"/>
        <w:spacing w:after="160" w:before="280"/>
      </w:pPr>
      <w:r>
        <w:rPr>
          <w:rFonts w:ascii="宋体" w:cs="宋体" w:eastAsia="宋体" w:hAnsi="宋体"/>
          <w:b/>
          <w:bCs/>
          <w:sz w:val="28"/>
          <w:szCs w:val="28"/>
        </w:rPr>
        <w:t xml:space="preserve">（三）创新点</w:t>
      </w:r>
    </w:p>
    <w:p>
      <w:pPr>
        <w:spacing w:after="0" w:before="0" w:line="360"/>
        <w:ind w:firstLine="480"/>
        <w:jc w:val="both"/>
      </w:pPr>
      <w:r>
        <w:rPr>
          <w:rFonts w:ascii="宋体" w:cs="宋体" w:eastAsia="宋体" w:hAnsi="宋体"/>
          <w:sz w:val="24"/>
          <w:szCs w:val="24"/>
        </w:rPr>
        <w:t xml:space="preserve">1. 提出AI设计美学"理论—方法—实践"三维分析框架；</w:t>
      </w:r>
    </w:p>
    <w:p>
      <w:pPr>
        <w:spacing w:after="0" w:before="0" w:line="360"/>
        <w:ind w:firstLine="480"/>
        <w:jc w:val="both"/>
      </w:pPr>
      <w:r>
        <w:rPr>
          <w:rFonts w:ascii="宋体" w:cs="宋体" w:eastAsia="宋体" w:hAnsi="宋体"/>
          <w:sz w:val="24"/>
          <w:szCs w:val="24"/>
        </w:rPr>
        <w:t xml:space="preserve">2. 引入"文化基因驱动的可控生成"路径，弥合计算美学与文化美学的鸿沟；</w:t>
      </w:r>
    </w:p>
    <w:p>
      <w:pPr>
        <w:spacing w:after="0" w:before="0" w:line="360"/>
        <w:ind w:firstLine="480"/>
        <w:jc w:val="both"/>
      </w:pPr>
      <w:r>
        <w:rPr>
          <w:rFonts w:ascii="宋体" w:cs="宋体" w:eastAsia="宋体" w:hAnsi="宋体"/>
          <w:sz w:val="24"/>
          <w:szCs w:val="24"/>
        </w:rPr>
        <w:t xml:space="preserve">3. 构建"工具性—价值性"双重视角的AI设计审美评价体系。</w:t>
      </w:r>
    </w:p>
    <w:p>
      <w:pPr>
        <w:pStyle w:val="Heading1"/>
        <w:spacing w:after="200" w:before="360"/>
        <w:jc w:val="left"/>
      </w:pPr>
      <w:r>
        <w:rPr>
          <w:rFonts w:ascii="宋体" w:cs="宋体" w:eastAsia="宋体" w:hAnsi="宋体"/>
          <w:b/>
          <w:bCs/>
          <w:sz w:val="32"/>
          <w:szCs w:val="32"/>
        </w:rPr>
        <w:t xml:space="preserve">六、研究计划与进度安排</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2000"/>
        <w:gridCol w:w="5200"/>
      </w:tblGrid>
      <w:tr>
        <w:trPr>
          <w:tblHeader/>
        </w:trPr>
        <w:tc>
          <w:tcPr>
            <w:tcW w:type="dxa" w:w="1800"/>
            <w:tcBorders>
              <w:top w:val="single" w:color="999999" w:sz="4"/>
              <w:left w:val="single" w:color="999999" w:sz="4"/>
              <w:bottom w:val="single" w:color="999999" w:sz="4"/>
              <w:right w:val="single" w:color="999999" w:sz="4"/>
            </w:tcBorders>
            <w:shd w:fill="D5E8F0" w:val="clear"/>
            <w:tcMar>
              <w:top w:type="dxa" w:w="60"/>
              <w:left w:type="dxa" w:w="100"/>
              <w:bottom w:type="dxa" w:w="60"/>
              <w:right w:type="dxa" w:w="100"/>
            </w:tcMar>
          </w:tcPr>
          <w:p>
            <w:pPr>
              <w:spacing w:line="300"/>
              <w:jc w:val="center"/>
            </w:pPr>
            <w:r>
              <w:rPr>
                <w:rFonts w:ascii="宋体" w:cs="宋体" w:eastAsia="宋体" w:hAnsi="宋体"/>
                <w:b/>
                <w:bCs/>
                <w:sz w:val="20"/>
                <w:szCs w:val="20"/>
              </w:rPr>
              <w:t xml:space="preserve">阶段</w:t>
            </w:r>
          </w:p>
        </w:tc>
        <w:tc>
          <w:tcPr>
            <w:tcW w:type="dxa" w:w="2000"/>
            <w:tcBorders>
              <w:top w:val="single" w:color="999999" w:sz="4"/>
              <w:left w:val="single" w:color="999999" w:sz="4"/>
              <w:bottom w:val="single" w:color="999999" w:sz="4"/>
              <w:right w:val="single" w:color="999999" w:sz="4"/>
            </w:tcBorders>
            <w:shd w:fill="D5E8F0" w:val="clear"/>
            <w:tcMar>
              <w:top w:type="dxa" w:w="60"/>
              <w:left w:type="dxa" w:w="100"/>
              <w:bottom w:type="dxa" w:w="60"/>
              <w:right w:type="dxa" w:w="100"/>
            </w:tcMar>
          </w:tcPr>
          <w:p>
            <w:pPr>
              <w:spacing w:line="300"/>
              <w:jc w:val="center"/>
            </w:pPr>
            <w:r>
              <w:rPr>
                <w:rFonts w:ascii="宋体" w:cs="宋体" w:eastAsia="宋体" w:hAnsi="宋体"/>
                <w:b/>
                <w:bCs/>
                <w:sz w:val="20"/>
                <w:szCs w:val="20"/>
              </w:rPr>
              <w:t xml:space="preserve">时间</w:t>
            </w:r>
          </w:p>
        </w:tc>
        <w:tc>
          <w:tcPr>
            <w:tcW w:type="dxa" w:w="5200"/>
            <w:tcBorders>
              <w:top w:val="single" w:color="999999" w:sz="4"/>
              <w:left w:val="single" w:color="999999" w:sz="4"/>
              <w:bottom w:val="single" w:color="999999" w:sz="4"/>
              <w:right w:val="single" w:color="999999" w:sz="4"/>
            </w:tcBorders>
            <w:shd w:fill="D5E8F0" w:val="clear"/>
            <w:tcMar>
              <w:top w:type="dxa" w:w="60"/>
              <w:left w:type="dxa" w:w="100"/>
              <w:bottom w:type="dxa" w:w="60"/>
              <w:right w:type="dxa" w:w="100"/>
            </w:tcMar>
          </w:tcPr>
          <w:p>
            <w:pPr>
              <w:spacing w:line="300"/>
              <w:jc w:val="center"/>
            </w:pPr>
            <w:r>
              <w:rPr>
                <w:rFonts w:ascii="宋体" w:cs="宋体" w:eastAsia="宋体" w:hAnsi="宋体"/>
                <w:b/>
                <w:bCs/>
                <w:sz w:val="20"/>
                <w:szCs w:val="20"/>
              </w:rPr>
              <w:t xml:space="preserve">主要任务</w:t>
            </w:r>
          </w:p>
        </w:tc>
      </w:tr>
      <w:tr>
        <w:trPr>
          <w:tblHeader w:val="false"/>
        </w:trPr>
        <w:tc>
          <w:tcPr>
            <w:tcW w:type="dxa" w:w="18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center"/>
            </w:pPr>
            <w:r>
              <w:rPr>
                <w:rFonts w:ascii="宋体" w:cs="宋体" w:eastAsia="宋体" w:hAnsi="宋体"/>
                <w:b w:val="false"/>
                <w:bCs w:val="false"/>
                <w:sz w:val="20"/>
                <w:szCs w:val="20"/>
              </w:rPr>
              <w:t xml:space="preserve">第一阶段</w:t>
            </w:r>
          </w:p>
        </w:tc>
        <w:tc>
          <w:tcPr>
            <w:tcW w:type="dxa" w:w="20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center"/>
            </w:pPr>
            <w:r>
              <w:rPr>
                <w:rFonts w:ascii="宋体" w:cs="宋体" w:eastAsia="宋体" w:hAnsi="宋体"/>
                <w:b w:val="false"/>
                <w:bCs w:val="false"/>
                <w:sz w:val="20"/>
                <w:szCs w:val="20"/>
              </w:rPr>
              <w:t xml:space="preserve">第1—2月</w:t>
            </w:r>
          </w:p>
        </w:tc>
        <w:tc>
          <w:tcPr>
            <w:tcW w:type="dxa" w:w="52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left"/>
            </w:pPr>
            <w:r>
              <w:rPr>
                <w:rFonts w:ascii="宋体" w:cs="宋体" w:eastAsia="宋体" w:hAnsi="宋体"/>
                <w:b w:val="false"/>
                <w:bCs w:val="false"/>
                <w:sz w:val="20"/>
                <w:szCs w:val="20"/>
              </w:rPr>
              <w:t xml:space="preserve">文献检索、筛选与文献计量分析，完成开题报告</w:t>
            </w:r>
          </w:p>
        </w:tc>
      </w:tr>
      <w:tr>
        <w:trPr>
          <w:tblHeader w:val="false"/>
        </w:trPr>
        <w:tc>
          <w:tcPr>
            <w:tcW w:type="dxa" w:w="18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center"/>
            </w:pPr>
            <w:r>
              <w:rPr>
                <w:rFonts w:ascii="宋体" w:cs="宋体" w:eastAsia="宋体" w:hAnsi="宋体"/>
                <w:b w:val="false"/>
                <w:bCs w:val="false"/>
                <w:sz w:val="20"/>
                <w:szCs w:val="20"/>
              </w:rPr>
              <w:t xml:space="preserve">第二阶段</w:t>
            </w:r>
          </w:p>
        </w:tc>
        <w:tc>
          <w:tcPr>
            <w:tcW w:type="dxa" w:w="20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center"/>
            </w:pPr>
            <w:r>
              <w:rPr>
                <w:rFonts w:ascii="宋体" w:cs="宋体" w:eastAsia="宋体" w:hAnsi="宋体"/>
                <w:b w:val="false"/>
                <w:bCs w:val="false"/>
                <w:sz w:val="20"/>
                <w:szCs w:val="20"/>
              </w:rPr>
              <w:t xml:space="preserve">第3—4月</w:t>
            </w:r>
          </w:p>
        </w:tc>
        <w:tc>
          <w:tcPr>
            <w:tcW w:type="dxa" w:w="52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left"/>
            </w:pPr>
            <w:r>
              <w:rPr>
                <w:rFonts w:ascii="宋体" w:cs="宋体" w:eastAsia="宋体" w:hAnsi="宋体"/>
                <w:b w:val="false"/>
                <w:bCs w:val="false"/>
                <w:sz w:val="20"/>
                <w:szCs w:val="20"/>
              </w:rPr>
              <w:t xml:space="preserve">理论谱系与方法论梳理，撰写第二、三章初稿</w:t>
            </w:r>
          </w:p>
        </w:tc>
      </w:tr>
      <w:tr>
        <w:trPr>
          <w:tblHeader w:val="false"/>
        </w:trPr>
        <w:tc>
          <w:tcPr>
            <w:tcW w:type="dxa" w:w="18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center"/>
            </w:pPr>
            <w:r>
              <w:rPr>
                <w:rFonts w:ascii="宋体" w:cs="宋体" w:eastAsia="宋体" w:hAnsi="宋体"/>
                <w:b w:val="false"/>
                <w:bCs w:val="false"/>
                <w:sz w:val="20"/>
                <w:szCs w:val="20"/>
              </w:rPr>
              <w:t xml:space="preserve">第三阶段</w:t>
            </w:r>
          </w:p>
        </w:tc>
        <w:tc>
          <w:tcPr>
            <w:tcW w:type="dxa" w:w="20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center"/>
            </w:pPr>
            <w:r>
              <w:rPr>
                <w:rFonts w:ascii="宋体" w:cs="宋体" w:eastAsia="宋体" w:hAnsi="宋体"/>
                <w:b w:val="false"/>
                <w:bCs w:val="false"/>
                <w:sz w:val="20"/>
                <w:szCs w:val="20"/>
              </w:rPr>
              <w:t xml:space="preserve">第5—6月</w:t>
            </w:r>
          </w:p>
        </w:tc>
        <w:tc>
          <w:tcPr>
            <w:tcW w:type="dxa" w:w="52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left"/>
            </w:pPr>
            <w:r>
              <w:rPr>
                <w:rFonts w:ascii="宋体" w:cs="宋体" w:eastAsia="宋体" w:hAnsi="宋体"/>
                <w:b w:val="false"/>
                <w:bCs w:val="false"/>
                <w:sz w:val="20"/>
                <w:szCs w:val="20"/>
              </w:rPr>
              <w:t xml:space="preserve">案例调研与分析，撰写第四、五章</w:t>
            </w:r>
          </w:p>
        </w:tc>
      </w:tr>
      <w:tr>
        <w:trPr>
          <w:tblHeader w:val="false"/>
        </w:trPr>
        <w:tc>
          <w:tcPr>
            <w:tcW w:type="dxa" w:w="18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center"/>
            </w:pPr>
            <w:r>
              <w:rPr>
                <w:rFonts w:ascii="宋体" w:cs="宋体" w:eastAsia="宋体" w:hAnsi="宋体"/>
                <w:b w:val="false"/>
                <w:bCs w:val="false"/>
                <w:sz w:val="20"/>
                <w:szCs w:val="20"/>
              </w:rPr>
              <w:t xml:space="preserve">第四阶段</w:t>
            </w:r>
          </w:p>
        </w:tc>
        <w:tc>
          <w:tcPr>
            <w:tcW w:type="dxa" w:w="20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center"/>
            </w:pPr>
            <w:r>
              <w:rPr>
                <w:rFonts w:ascii="宋体" w:cs="宋体" w:eastAsia="宋体" w:hAnsi="宋体"/>
                <w:b w:val="false"/>
                <w:bCs w:val="false"/>
                <w:sz w:val="20"/>
                <w:szCs w:val="20"/>
              </w:rPr>
              <w:t xml:space="preserve">第7—8月</w:t>
            </w:r>
          </w:p>
        </w:tc>
        <w:tc>
          <w:tcPr>
            <w:tcW w:type="dxa" w:w="52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left"/>
            </w:pPr>
            <w:r>
              <w:rPr>
                <w:rFonts w:ascii="宋体" w:cs="宋体" w:eastAsia="宋体" w:hAnsi="宋体"/>
                <w:b w:val="false"/>
                <w:bCs w:val="false"/>
                <w:sz w:val="20"/>
                <w:szCs w:val="20"/>
              </w:rPr>
              <w:t xml:space="preserve">统稿、修改、形成论文初稿</w:t>
            </w:r>
          </w:p>
        </w:tc>
      </w:tr>
      <w:tr>
        <w:trPr>
          <w:tblHeader w:val="false"/>
        </w:trPr>
        <w:tc>
          <w:tcPr>
            <w:tcW w:type="dxa" w:w="18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center"/>
            </w:pPr>
            <w:r>
              <w:rPr>
                <w:rFonts w:ascii="宋体" w:cs="宋体" w:eastAsia="宋体" w:hAnsi="宋体"/>
                <w:b w:val="false"/>
                <w:bCs w:val="false"/>
                <w:sz w:val="20"/>
                <w:szCs w:val="20"/>
              </w:rPr>
              <w:t xml:space="preserve">第五阶段</w:t>
            </w:r>
          </w:p>
        </w:tc>
        <w:tc>
          <w:tcPr>
            <w:tcW w:type="dxa" w:w="20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center"/>
            </w:pPr>
            <w:r>
              <w:rPr>
                <w:rFonts w:ascii="宋体" w:cs="宋体" w:eastAsia="宋体" w:hAnsi="宋体"/>
                <w:b w:val="false"/>
                <w:bCs w:val="false"/>
                <w:sz w:val="20"/>
                <w:szCs w:val="20"/>
              </w:rPr>
              <w:t xml:space="preserve">第9月</w:t>
            </w:r>
          </w:p>
        </w:tc>
        <w:tc>
          <w:tcPr>
            <w:tcW w:type="dxa" w:w="52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line="300"/>
              <w:jc w:val="left"/>
            </w:pPr>
            <w:r>
              <w:rPr>
                <w:rFonts w:ascii="宋体" w:cs="宋体" w:eastAsia="宋体" w:hAnsi="宋体"/>
                <w:b w:val="false"/>
                <w:bCs w:val="false"/>
                <w:sz w:val="20"/>
                <w:szCs w:val="20"/>
              </w:rPr>
              <w:t xml:space="preserve">预答辩与定稿</w:t>
            </w:r>
          </w:p>
        </w:tc>
      </w:tr>
    </w:tbl>
    <w:p>
      <w:r>
        <w:br w:type="page"/>
      </w:r>
    </w:p>
    <w:p>
      <w:pPr>
        <w:pStyle w:val="Heading1"/>
        <w:spacing w:after="200" w:before="360"/>
        <w:jc w:val="left"/>
      </w:pPr>
      <w:r>
        <w:rPr>
          <w:rFonts w:ascii="宋体" w:cs="宋体" w:eastAsia="宋体" w:hAnsi="宋体"/>
          <w:b/>
          <w:bCs/>
          <w:sz w:val="32"/>
          <w:szCs w:val="32"/>
        </w:rPr>
        <w:t xml:space="preserve">参考文献（BibTeX 格式）</w:t>
      </w:r>
    </w:p>
    <w:p>
      <w:pPr>
        <w:spacing w:after="0" w:before="0" w:line="360"/>
        <w:ind w:firstLine="480"/>
        <w:jc w:val="both"/>
      </w:pPr>
      <w:r>
        <w:rPr>
          <w:rFonts w:ascii="宋体" w:cs="宋体" w:eastAsia="宋体" w:hAnsi="宋体"/>
          <w:sz w:val="24"/>
          <w:szCs w:val="24"/>
        </w:rPr>
        <w:t xml:space="preserve">以下为本开题报告引用核心文献的BibTeX条目，可直接导入LaTeX/文献管理工具。</w:t>
      </w:r>
    </w:p>
    <w:p/>
    <w:p>
      <w:pPr>
        <w:spacing w:after="60" w:before="0" w:line="312"/>
        <w:ind w:left="480" w:hanging="480"/>
      </w:pPr>
      <w:r>
        <w:rPr>
          <w:rFonts w:ascii="宋体" w:cs="宋体" w:eastAsia="宋体" w:hAnsi="宋体"/>
          <w:sz w:val="21"/>
          <w:szCs w:val="21"/>
        </w:rPr>
        <w:t xml:space="preserve">[1]</w:t>
      </w:r>
    </w:p>
    <w:p>
      <w:pPr>
        <w:spacing w:after="120" w:before="0" w:line="280"/>
        <w:ind w:left="480"/>
      </w:pPr>
      <w:r>
        <w:rPr>
          <w:sz w:val="18"/>
          <w:szCs w:val="18"/>
        </w:rPr>
        <w:t xml:space="preserve">@article{wang2023subjectivity,
  author  = {王兴珍},
  title   = {AI艺术设计的主体性和情感性研究},
  journal = {设计},
  year    = {2023},
  volume  = {8},
  number  = {4},
  pages   = {4095--4099},
  doi     = {10.12677/Design.2023.84502}
}</w:t>
      </w:r>
    </w:p>
    <w:p>
      <w:pPr>
        <w:spacing w:after="60" w:before="0" w:line="312"/>
        <w:ind w:left="480" w:hanging="480"/>
      </w:pPr>
      <w:r>
        <w:rPr>
          <w:rFonts w:ascii="宋体" w:cs="宋体" w:eastAsia="宋体" w:hAnsi="宋体"/>
          <w:sz w:val="21"/>
          <w:szCs w:val="21"/>
        </w:rPr>
        <w:t xml:space="preserve">[2]</w:t>
      </w:r>
    </w:p>
    <w:p>
      <w:pPr>
        <w:spacing w:after="120" w:before="0" w:line="280"/>
        <w:ind w:left="480"/>
      </w:pPr>
      <w:r>
        <w:rPr>
          <w:sz w:val="18"/>
          <w:szCs w:val="18"/>
        </w:rPr>
        <w:t xml:space="preserve">@article{tao2023design,
  author  = {陶锋 and 梁正平},
  title   = {设计与理性：人工智能设计的美学反思},
  journal = {中国文艺评论},
  year    = {2023},
  number  = {10},
  pages   = {32--46}
}</w:t>
      </w:r>
    </w:p>
    <w:p>
      <w:pPr>
        <w:spacing w:after="60" w:before="0" w:line="312"/>
        <w:ind w:left="480" w:hanging="480"/>
      </w:pPr>
      <w:r>
        <w:rPr>
          <w:rFonts w:ascii="宋体" w:cs="宋体" w:eastAsia="宋体" w:hAnsi="宋体"/>
          <w:sz w:val="21"/>
          <w:szCs w:val="21"/>
        </w:rPr>
        <w:t xml:space="preserve">[3]</w:t>
      </w:r>
    </w:p>
    <w:p>
      <w:pPr>
        <w:spacing w:after="120" w:before="0" w:line="280"/>
        <w:ind w:left="480"/>
      </w:pPr>
      <w:r>
        <w:rPr>
          <w:sz w:val="18"/>
          <w:szCs w:val="18"/>
        </w:rPr>
        <w:t xml:space="preserve">@article{tao2018possible,
  author  = {陶锋},
  title   = {人工智能美学如何可能},
  journal = {文艺争鸣},
  year    = {2018},
  number  = {5},
  pages   = {78--85}
}</w:t>
      </w:r>
    </w:p>
    <w:p>
      <w:pPr>
        <w:spacing w:after="60" w:before="0" w:line="312"/>
        <w:ind w:left="480" w:hanging="480"/>
      </w:pPr>
      <w:r>
        <w:rPr>
          <w:rFonts w:ascii="宋体" w:cs="宋体" w:eastAsia="宋体" w:hAnsi="宋体"/>
          <w:sz w:val="21"/>
          <w:szCs w:val="21"/>
        </w:rPr>
        <w:t xml:space="preserve">[4]</w:t>
      </w:r>
    </w:p>
    <w:p>
      <w:pPr>
        <w:spacing w:after="120" w:before="0" w:line="280"/>
        <w:ind w:left="480"/>
      </w:pPr>
      <w:r>
        <w:rPr>
          <w:sz w:val="18"/>
          <w:szCs w:val="18"/>
        </w:rPr>
        <w:t xml:space="preserve">@article{tao2022rationality,
  author  = {陶锋},
  title   = {人工智能美学视域中的审美理性},
  journal = {文艺争鸣},
  year    = {2022},
  number  = {11},
  pages   = {163--170}
}</w:t>
      </w:r>
    </w:p>
    <w:p>
      <w:pPr>
        <w:spacing w:after="60" w:before="0" w:line="312"/>
        <w:ind w:left="480" w:hanging="480"/>
      </w:pPr>
      <w:r>
        <w:rPr>
          <w:rFonts w:ascii="宋体" w:cs="宋体" w:eastAsia="宋体" w:hAnsi="宋体"/>
          <w:sz w:val="21"/>
          <w:szCs w:val="21"/>
        </w:rPr>
        <w:t xml:space="preserve">[5]</w:t>
      </w:r>
    </w:p>
    <w:p>
      <w:pPr>
        <w:spacing w:after="120" w:before="0" w:line="280"/>
        <w:ind w:left="480"/>
      </w:pPr>
      <w:r>
        <w:rPr>
          <w:sz w:val="18"/>
          <w:szCs w:val="18"/>
        </w:rPr>
        <w:t xml:space="preserve">@article{wu2024midjourney,
  author  = {吴冠军},
  title   = {从Midjourney到Sora：生成式AI与美学革命},
  journal = {阅江学刊},
  year    = {2024},
  volume  = {16},
  number  = {3},
  pages   = {85--92, 174}
}</w:t>
      </w:r>
    </w:p>
    <w:p>
      <w:pPr>
        <w:spacing w:after="60" w:before="0" w:line="312"/>
        <w:ind w:left="480" w:hanging="480"/>
      </w:pPr>
      <w:r>
        <w:rPr>
          <w:rFonts w:ascii="宋体" w:cs="宋体" w:eastAsia="宋体" w:hAnsi="宋体"/>
          <w:sz w:val="21"/>
          <w:szCs w:val="21"/>
        </w:rPr>
        <w:t xml:space="preserve">[6]</w:t>
      </w:r>
    </w:p>
    <w:p>
      <w:pPr>
        <w:spacing w:after="120" w:before="0" w:line="280"/>
        <w:ind w:left="480"/>
      </w:pPr>
      <w:r>
        <w:rPr>
          <w:sz w:val="18"/>
          <w:szCs w:val="18"/>
        </w:rPr>
        <w:t xml:space="preserve">@article{liu2023generative,
  author  = {刘方喜},
  title   = {生成式人工智能：艺术机器大生产时代来临},
  journal = {文艺争鸣},
  year    = {2023},
  number  = {7},
  pages   = {59--67}
}</w:t>
      </w:r>
    </w:p>
    <w:p>
      <w:pPr>
        <w:spacing w:after="60" w:before="0" w:line="312"/>
        <w:ind w:left="480" w:hanging="480"/>
      </w:pPr>
      <w:r>
        <w:rPr>
          <w:rFonts w:ascii="宋体" w:cs="宋体" w:eastAsia="宋体" w:hAnsi="宋体"/>
          <w:sz w:val="21"/>
          <w:szCs w:val="21"/>
        </w:rPr>
        <w:t xml:space="preserve">[7]</w:t>
      </w:r>
    </w:p>
    <w:p>
      <w:pPr>
        <w:spacing w:after="120" w:before="0" w:line="280"/>
        <w:ind w:left="480"/>
      </w:pPr>
      <w:r>
        <w:rPr>
          <w:sz w:val="18"/>
          <w:szCs w:val="18"/>
        </w:rPr>
        <w:t xml:space="preserve">@article{qin2019aesthetic,
  author  = {覃京燕},
  title   = {审美意识对人工智能与创新设计的影响研究},
  journal = {包装工程},
  year    = {2019},
  volume  = {40},
  number  = {4},
  pages   = {59--71}
}</w:t>
      </w:r>
    </w:p>
    <w:p>
      <w:pPr>
        <w:spacing w:after="60" w:before="0" w:line="312"/>
        <w:ind w:left="480" w:hanging="480"/>
      </w:pPr>
      <w:r>
        <w:rPr>
          <w:rFonts w:ascii="宋体" w:cs="宋体" w:eastAsia="宋体" w:hAnsi="宋体"/>
          <w:sz w:val="21"/>
          <w:szCs w:val="21"/>
        </w:rPr>
        <w:t xml:space="preserve">[8]</w:t>
      </w:r>
    </w:p>
    <w:p>
      <w:pPr>
        <w:spacing w:after="120" w:before="0" w:line="280"/>
        <w:ind w:left="480"/>
      </w:pPr>
      <w:r>
        <w:rPr>
          <w:sz w:val="18"/>
          <w:szCs w:val="18"/>
        </w:rPr>
        <w:t xml:space="preserve">@article{gu2021meaningful,
  author  = {顾亚奇 and 王琳琳},
  title   = {有意义的控制：基于生成对抗网络的AI艺术及其交互方式},
  journal = {装饰},
  year    = {2021},
  number  = {8},
  pages   = {98--102}
}</w:t>
      </w:r>
    </w:p>
    <w:p>
      <w:pPr>
        <w:spacing w:after="60" w:before="0" w:line="312"/>
        <w:ind w:left="480" w:hanging="480"/>
      </w:pPr>
      <w:r>
        <w:rPr>
          <w:rFonts w:ascii="宋体" w:cs="宋体" w:eastAsia="宋体" w:hAnsi="宋体"/>
          <w:sz w:val="21"/>
          <w:szCs w:val="21"/>
        </w:rPr>
        <w:t xml:space="preserve">[9]</w:t>
      </w:r>
    </w:p>
    <w:p>
      <w:pPr>
        <w:spacing w:after="120" w:before="0" w:line="280"/>
        <w:ind w:left="480"/>
      </w:pPr>
      <w:r>
        <w:rPr>
          <w:sz w:val="18"/>
          <w:szCs w:val="18"/>
        </w:rPr>
        <w:t xml:space="preserve">@article{gu2023embodiment,
  author  = {顾亚奇 and 王琳琳},
  title   = {具身、交互与创造力：认知传播视域下AI艺术的实践逻辑},
  journal = {中州学刊},
  year    = {2023},
  number  = {1},
  pages   = {170--176}
}</w:t>
      </w:r>
    </w:p>
    <w:p>
      <w:pPr>
        <w:spacing w:after="60" w:before="0" w:line="312"/>
        <w:ind w:left="480" w:hanging="480"/>
      </w:pPr>
      <w:r>
        <w:rPr>
          <w:rFonts w:ascii="宋体" w:cs="宋体" w:eastAsia="宋体" w:hAnsi="宋体"/>
          <w:sz w:val="21"/>
          <w:szCs w:val="21"/>
        </w:rPr>
        <w:t xml:space="preserve">[10]</w:t>
      </w:r>
    </w:p>
    <w:p>
      <w:pPr>
        <w:spacing w:after="120" w:before="0" w:line="280"/>
        <w:ind w:left="480"/>
      </w:pPr>
      <w:r>
        <w:rPr>
          <w:sz w:val="18"/>
          <w:szCs w:val="18"/>
        </w:rPr>
        <w:t xml:space="preserve">@article{lu2023aigc,
  author  = {卢兆麟 and 宋新衡 and 金昱成},
  title   = {AIGC技术趋势下智能设计的现状与发展},
  journal = {包装工程},
  year    = {2023},
  volume  = {44},
  number  = {24},
  pages   = {18--33}
}</w:t>
      </w:r>
    </w:p>
    <w:p>
      <w:pPr>
        <w:spacing w:after="60" w:before="0" w:line="312"/>
        <w:ind w:left="480" w:hanging="480"/>
      </w:pPr>
      <w:r>
        <w:rPr>
          <w:rFonts w:ascii="宋体" w:cs="宋体" w:eastAsia="宋体" w:hAnsi="宋体"/>
          <w:sz w:val="21"/>
          <w:szCs w:val="21"/>
        </w:rPr>
        <w:t xml:space="preserve">[11]</w:t>
      </w:r>
    </w:p>
    <w:p>
      <w:pPr>
        <w:spacing w:after="120" w:before="0" w:line="280"/>
        <w:ind w:left="480"/>
      </w:pPr>
      <w:r>
        <w:rPr>
          <w:sz w:val="18"/>
          <w:szCs w:val="18"/>
        </w:rPr>
        <w:t xml:space="preserve">@article{cui2024instrumentality,
  author  = {崔昊 and 刘闻名},
  title   = {工具性与价值性：AIGC艺术双重面向的审美选择},
  journal = {美术研究},
  year    = {2024},
  number  = {2},
  pages   = {118--121}
}</w:t>
      </w:r>
    </w:p>
    <w:p>
      <w:pPr>
        <w:spacing w:after="60" w:before="0" w:line="312"/>
        <w:ind w:left="480" w:hanging="480"/>
      </w:pPr>
      <w:r>
        <w:rPr>
          <w:rFonts w:ascii="宋体" w:cs="宋体" w:eastAsia="宋体" w:hAnsi="宋体"/>
          <w:sz w:val="21"/>
          <w:szCs w:val="21"/>
        </w:rPr>
        <w:t xml:space="preserve">[12]</w:t>
      </w:r>
    </w:p>
    <w:p>
      <w:pPr>
        <w:spacing w:after="120" w:before="0" w:line="280"/>
        <w:ind w:left="480"/>
      </w:pPr>
      <w:r>
        <w:rPr>
          <w:sz w:val="18"/>
          <w:szCs w:val="18"/>
        </w:rPr>
        <w:t xml:space="preserve">@article{song2023chinese,
  author  = {宋玉 and 钦晓松 and 彭凌钰 and 叶紫寒 and 覃京燕},
  title   = {AIGC中式美学文创设计研究},
  journal = {包装工程},
  year    = {2023},
  volume  = {44},
  number  = {24},
  pages   = {1--8}
}</w:t>
      </w:r>
    </w:p>
    <w:p>
      <w:pPr>
        <w:spacing w:after="60" w:before="0" w:line="312"/>
        <w:ind w:left="480" w:hanging="480"/>
      </w:pPr>
      <w:r>
        <w:rPr>
          <w:rFonts w:ascii="宋体" w:cs="宋体" w:eastAsia="宋体" w:hAnsi="宋体"/>
          <w:sz w:val="21"/>
          <w:szCs w:val="21"/>
        </w:rPr>
        <w:t xml:space="preserve">[13]</w:t>
      </w:r>
    </w:p>
    <w:p>
      <w:pPr>
        <w:spacing w:after="120" w:before="0" w:line="280"/>
        <w:ind w:left="480"/>
      </w:pPr>
      <w:r>
        <w:rPr>
          <w:sz w:val="18"/>
          <w:szCs w:val="18"/>
        </w:rPr>
        <w:t xml:space="preserve">@article{gao2023paradigm,
  author  = {高永杰 and 吕欣},
  title   = {生成式AI技术进化与图像艺术生产范式革新},
  journal = {现代传播（中国传媒大学学报）},
  year    = {2023},
  volume  = {45},
  number  = {9},
  pages   = {159--168}
}</w:t>
      </w:r>
    </w:p>
    <w:p>
      <w:pPr>
        <w:spacing w:after="60" w:before="0" w:line="312"/>
        <w:ind w:left="480" w:hanging="480"/>
      </w:pPr>
      <w:r>
        <w:rPr>
          <w:rFonts w:ascii="宋体" w:cs="宋体" w:eastAsia="宋体" w:hAnsi="宋体"/>
          <w:sz w:val="21"/>
          <w:szCs w:val="21"/>
        </w:rPr>
        <w:t xml:space="preserve">[14]</w:t>
      </w:r>
    </w:p>
    <w:p>
      <w:pPr>
        <w:spacing w:after="120" w:before="0" w:line="280"/>
        <w:ind w:left="480"/>
      </w:pPr>
      <w:r>
        <w:rPr>
          <w:sz w:val="18"/>
          <w:szCs w:val="18"/>
        </w:rPr>
        <w:t xml:space="preserve">@article{liu2024intent,
  author  = {刘玉磊 and 马艳阳},
  title   = {面向生成式人工智能应用的意图驱动的界面交互范式探索},
  journal = {包装工程},
  year    = {2024},
  volume  = {45},
  number  = {4},
  pages   = {58--66}
}</w:t>
      </w:r>
    </w:p>
    <w:p>
      <w:pPr>
        <w:spacing w:after="60" w:before="0" w:line="312"/>
        <w:ind w:left="480" w:hanging="480"/>
      </w:pPr>
      <w:r>
        <w:rPr>
          <w:rFonts w:ascii="宋体" w:cs="宋体" w:eastAsia="宋体" w:hAnsi="宋体"/>
          <w:sz w:val="21"/>
          <w:szCs w:val="21"/>
        </w:rPr>
        <w:t xml:space="preserve">[15]</w:t>
      </w:r>
    </w:p>
    <w:p>
      <w:pPr>
        <w:spacing w:after="120" w:before="0" w:line="280"/>
        <w:ind w:left="480"/>
      </w:pPr>
      <w:r>
        <w:rPr>
          <w:sz w:val="18"/>
          <w:szCs w:val="18"/>
        </w:rPr>
        <w:t xml:space="preserve">@article{ma2018challenge,
  author  = {马草},
  title   = {人工智能艺术的美学挑战},
  journal = {民族艺术研究},
  year    = {2018},
  volume  = {31},
  number  = {6},
  pages   = {90--97}
}</w:t>
      </w:r>
    </w:p>
    <w:p>
      <w:pPr>
        <w:spacing w:after="60" w:before="0" w:line="312"/>
        <w:ind w:left="480" w:hanging="480"/>
      </w:pPr>
      <w:r>
        <w:rPr>
          <w:rFonts w:ascii="宋体" w:cs="宋体" w:eastAsia="宋体" w:hAnsi="宋体"/>
          <w:sz w:val="21"/>
          <w:szCs w:val="21"/>
        </w:rPr>
        <w:t xml:space="preserve">[16]</w:t>
      </w:r>
    </w:p>
    <w:p>
      <w:pPr>
        <w:spacing w:after="120" w:before="0" w:line="280"/>
        <w:ind w:left="480"/>
      </w:pPr>
      <w:r>
        <w:rPr>
          <w:sz w:val="18"/>
          <w:szCs w:val="18"/>
        </w:rPr>
        <w:t xml:space="preserve">@article{li2018replacement,
  author  = {李丰},
  title   = {人工智能与艺术创作——人工智能能够取代艺术家吗?},
  journal = {现代哲学},
  year    = {2018},
  number  = {6},
  pages   = {95--100}
}</w:t>
      </w:r>
    </w:p>
    <w:p>
      <w:pPr>
        <w:spacing w:after="60" w:before="0" w:line="312"/>
        <w:ind w:left="480" w:hanging="480"/>
      </w:pPr>
      <w:r>
        <w:rPr>
          <w:rFonts w:ascii="宋体" w:cs="宋体" w:eastAsia="宋体" w:hAnsi="宋体"/>
          <w:sz w:val="21"/>
          <w:szCs w:val="21"/>
        </w:rPr>
        <w:t xml:space="preserve">[17]</w:t>
      </w:r>
    </w:p>
    <w:p>
      <w:pPr>
        <w:spacing w:after="120" w:before="0" w:line="280"/>
        <w:ind w:left="480"/>
      </w:pPr>
      <w:r>
        <w:rPr>
          <w:sz w:val="18"/>
          <w:szCs w:val="18"/>
        </w:rPr>
        <w:t xml:space="preserve">@article{zhao2020semiotic,
  author  = {赵毅衡},
  title   = {人工智能艺术的符号学研究},
  journal = {福建师范大学学报（哲学社会科学版）},
  year    = {2020},
  number  = {5}
}</w:t>
      </w:r>
    </w:p>
    <w:p>
      <w:pPr>
        <w:spacing w:after="60" w:before="0" w:line="312"/>
        <w:ind w:left="480" w:hanging="480"/>
      </w:pPr>
      <w:r>
        <w:rPr>
          <w:rFonts w:ascii="宋体" w:cs="宋体" w:eastAsia="宋体" w:hAnsi="宋体"/>
          <w:sz w:val="21"/>
          <w:szCs w:val="21"/>
        </w:rPr>
        <w:t xml:space="preserve">[18]</w:t>
      </w:r>
    </w:p>
    <w:p>
      <w:pPr>
        <w:spacing w:after="120" w:before="0" w:line="280"/>
        <w:ind w:left="480"/>
      </w:pPr>
      <w:r>
        <w:rPr>
          <w:sz w:val="18"/>
          <w:szCs w:val="18"/>
        </w:rPr>
        <w:t xml:space="preserve">@article{tang2020review,
  author  = {Tang, Yong-chuan and Huang, Jiang-jie and Yao, Meng-ting and Wei, Jia and Li, Wei and He, Yong-xing and Li, Ze-jian},
  title   = {A Review of Design Intelligence: Progress, Problems, and Challenges},
  journal = {Frontiers of Information Technology &amp; Electronic Engineering},
  year    = {2020},
  volume  = {20},
  number  = {12},
  pages   = {1617}
}</w:t>
      </w:r>
    </w:p>
    <w:p>
      <w:pPr>
        <w:spacing w:after="60" w:before="0" w:line="312"/>
        <w:ind w:left="480" w:hanging="480"/>
      </w:pPr>
      <w:r>
        <w:rPr>
          <w:rFonts w:ascii="宋体" w:cs="宋体" w:eastAsia="宋体" w:hAnsi="宋体"/>
          <w:sz w:val="21"/>
          <w:szCs w:val="21"/>
        </w:rPr>
        <w:t xml:space="preserve">[19]</w:t>
      </w:r>
    </w:p>
    <w:p>
      <w:pPr>
        <w:spacing w:after="120" w:before="0" w:line="280"/>
        <w:ind w:left="480"/>
      </w:pPr>
      <w:r>
        <w:rPr>
          <w:sz w:val="18"/>
          <w:szCs w:val="18"/>
        </w:rPr>
        <w:t xml:space="preserve">@article{haase2024co,
  author  = {Haase, Jennifer and Pokutta, Sebastian},
  title   = {Human-AI Co-Creativity: Exploring Synergies Across Levels of Creative Automation},
  journal = {arXiv preprint arXiv:2411.12527},
  year    = {2024}
}</w:t>
      </w:r>
    </w:p>
    <w:p>
      <w:pPr>
        <w:spacing w:after="60" w:before="0" w:line="312"/>
        <w:ind w:left="480" w:hanging="480"/>
      </w:pPr>
      <w:r>
        <w:rPr>
          <w:rFonts w:ascii="宋体" w:cs="宋体" w:eastAsia="宋体" w:hAnsi="宋体"/>
          <w:sz w:val="21"/>
          <w:szCs w:val="21"/>
        </w:rPr>
        <w:t xml:space="preserve">[20]</w:t>
      </w:r>
    </w:p>
    <w:p>
      <w:pPr>
        <w:spacing w:after="120" w:before="0" w:line="280"/>
        <w:ind w:left="480"/>
      </w:pPr>
      <w:r>
        <w:rPr>
          <w:sz w:val="18"/>
          <w:szCs w:val="18"/>
        </w:rPr>
        <w:t xml:space="preserve">@article{iaqa2025survey,
  author  = {{ACM Computing Surveys}},
  title   = {Deep Learning Based Image Aesthetic Quality Assessment: A Review},
  journal = {ACM Computing Surveys},
  year    = {2025},
  volume  = {57},
  number  = {7},
  pages   = {1--36}
}</w:t>
      </w:r>
    </w:p>
    <w:p>
      <w:pPr>
        <w:spacing w:after="60" w:before="0" w:line="312"/>
        <w:ind w:left="480" w:hanging="480"/>
      </w:pPr>
      <w:r>
        <w:rPr>
          <w:rFonts w:ascii="宋体" w:cs="宋体" w:eastAsia="宋体" w:hAnsi="宋体"/>
          <w:sz w:val="21"/>
          <w:szCs w:val="21"/>
        </w:rPr>
        <w:t xml:space="preserve">[21]</w:t>
      </w:r>
    </w:p>
    <w:p>
      <w:pPr>
        <w:spacing w:after="120" w:before="0" w:line="280"/>
        <w:ind w:left="480"/>
      </w:pPr>
      <w:r>
        <w:rPr>
          <w:sz w:val="18"/>
          <w:szCs w:val="18"/>
        </w:rPr>
        <w:t xml:space="preserve">@article{pmc2026eval,
  author  = {{PMC}},
  title   = {An AI-Generated Art Evaluation Model That Integrates Computational Aesthetics and Cognitive Psychology},
  journal = {PMC},
  year    = {2026}
}</w:t>
      </w:r>
    </w:p>
    <w:p>
      <w:pPr>
        <w:spacing w:after="60" w:before="0" w:line="312"/>
        <w:ind w:left="480" w:hanging="480"/>
      </w:pPr>
      <w:r>
        <w:rPr>
          <w:rFonts w:ascii="宋体" w:cs="宋体" w:eastAsia="宋体" w:hAnsi="宋体"/>
          <w:sz w:val="21"/>
          <w:szCs w:val="21"/>
        </w:rPr>
        <w:t xml:space="preserve">[22]</w:t>
      </w:r>
    </w:p>
    <w:p>
      <w:pPr>
        <w:spacing w:after="120" w:before="0" w:line="280"/>
        <w:ind w:left="480"/>
      </w:pPr>
      <w:r>
        <w:rPr>
          <w:sz w:val="18"/>
          <w:szCs w:val="18"/>
        </w:rPr>
        <w:t xml:space="preserve">@inproceedings{elgammal2017can,
  author    = {Elgammal, Ahmed and Liu, Bingchen and Elhoseiny, Mohamed and Mazzone, Marian},
  title     = {CAN: Creative Adversarial Networks, Generating ``Art'' by Learning About Styles and Deviating from Style Norms},
  booktitle = {arXiv preprint arXiv:1706.07068},
  year      = {2017}
}</w:t>
      </w:r>
    </w:p>
    <w:p>
      <w:pPr>
        <w:spacing w:after="60" w:before="0" w:line="312"/>
        <w:ind w:left="480" w:hanging="480"/>
      </w:pPr>
      <w:r>
        <w:rPr>
          <w:rFonts w:ascii="宋体" w:cs="宋体" w:eastAsia="宋体" w:hAnsi="宋体"/>
          <w:sz w:val="21"/>
          <w:szCs w:val="21"/>
        </w:rPr>
        <w:t xml:space="preserve">[23]</w:t>
      </w:r>
    </w:p>
    <w:p>
      <w:pPr>
        <w:spacing w:after="120" w:before="0" w:line="280"/>
        <w:ind w:left="480"/>
      </w:pPr>
      <w:r>
        <w:rPr>
          <w:sz w:val="18"/>
          <w:szCs w:val="18"/>
        </w:rPr>
        <w:t xml:space="preserve">@inproceedings{anantrasirichai2022ai,
  author    = {Anantrasirichai, N and Bull, D},
  title     = {Artificial Intelligence in the Creative Industries},
  booktitle = {Neural Networks},
  year      = {2022}
}</w:t>
      </w:r>
    </w:p>
    <w:p>
      <w:pPr>
        <w:spacing w:after="60" w:before="0" w:line="312"/>
        <w:ind w:left="480" w:hanging="480"/>
      </w:pPr>
      <w:r>
        <w:rPr>
          <w:rFonts w:ascii="宋体" w:cs="宋体" w:eastAsia="宋体" w:hAnsi="宋体"/>
          <w:sz w:val="21"/>
          <w:szCs w:val="21"/>
        </w:rPr>
        <w:t xml:space="preserve">[24]</w:t>
      </w:r>
    </w:p>
    <w:p>
      <w:pPr>
        <w:spacing w:after="120" w:before="0" w:line="280"/>
        <w:ind w:left="480"/>
      </w:pPr>
      <w:r>
        <w:rPr>
          <w:sz w:val="18"/>
          <w:szCs w:val="18"/>
        </w:rPr>
        <w:t xml:space="preserve">@article{britannica2026compaesth,
  author  = {Iqbal, Azlan},
  title   = {Computational Aesthetics},
  journal = {Encyclopaedia Britannica},
  year    = {2026}
}</w:t>
      </w:r>
    </w:p>
    <w:p>
      <w:pPr>
        <w:spacing w:after="60" w:before="0" w:line="312"/>
        <w:ind w:left="480" w:hanging="480"/>
      </w:pPr>
      <w:r>
        <w:rPr>
          <w:rFonts w:ascii="宋体" w:cs="宋体" w:eastAsia="宋体" w:hAnsi="宋体"/>
          <w:sz w:val="21"/>
          <w:szCs w:val="21"/>
        </w:rPr>
        <w:t xml:space="preserve">[25]</w:t>
      </w:r>
    </w:p>
    <w:p>
      <w:pPr>
        <w:spacing w:after="120" w:before="0" w:line="280"/>
        <w:ind w:left="480"/>
      </w:pPr>
      <w:r>
        <w:rPr>
          <w:sz w:val="18"/>
          <w:szCs w:val="18"/>
        </w:rPr>
        <w:t xml:space="preserve">@article{subjectivity2026,
  author  = {{人文学刊编辑部}},
  title   = {AIGC时代设计审美主体性的困境与重构},
  journal = {人文学刊},
  year    = {2026}
}</w:t>
      </w:r>
    </w:p>
    <w:p>
      <w:pPr>
        <w:spacing w:after="60" w:before="0" w:line="312"/>
        <w:ind w:left="480" w:hanging="480"/>
      </w:pPr>
      <w:r>
        <w:rPr>
          <w:rFonts w:ascii="宋体" w:cs="宋体" w:eastAsia="宋体" w:hAnsi="宋体"/>
          <w:sz w:val="21"/>
          <w:szCs w:val="21"/>
        </w:rPr>
        <w:t xml:space="preserve">[26]</w:t>
      </w:r>
    </w:p>
    <w:p>
      <w:pPr>
        <w:spacing w:after="120" w:before="0" w:line="280"/>
        <w:ind w:left="480"/>
      </w:pPr>
      <w:r>
        <w:rPr>
          <w:sz w:val="18"/>
          <w:szCs w:val="18"/>
        </w:rPr>
        <w:t xml:space="preserve">@article{review2025genai,
  author  = {{设计艺术研究编辑部}},
  title   = {生成式人工智能赋能艺术设计领域的研究述评与展望},
  journal = {设计艺术研究},
  year    = {2025}
}</w:t>
      </w:r>
    </w:p>
    <w:p>
      <w:pPr>
        <w:spacing w:after="60" w:before="0" w:line="312"/>
        <w:ind w:left="480" w:hanging="480"/>
      </w:pPr>
      <w:r>
        <w:rPr>
          <w:rFonts w:ascii="宋体" w:cs="宋体" w:eastAsia="宋体" w:hAnsi="宋体"/>
          <w:sz w:val="21"/>
          <w:szCs w:val="21"/>
        </w:rPr>
        <w:t xml:space="preserve">[27]</w:t>
      </w:r>
    </w:p>
    <w:p>
      <w:pPr>
        <w:spacing w:after="120" w:before="0" w:line="280"/>
        <w:ind w:left="480"/>
      </w:pPr>
      <w:r>
        <w:rPr>
          <w:sz w:val="18"/>
          <w:szCs w:val="18"/>
        </w:rPr>
        <w:t xml:space="preserve">@article{yu2024miao,
  author  = {于鹏 and 张毅},
  title   = {从特征辨识到图像生成：基于AIGC范式的苗族服饰设计},
  journal = {丝绸},
  year    = {2024},
  volume  = {61},
  number  = {3},
  pages   = {1--10}
}</w:t>
      </w:r>
    </w:p>
    <w:p>
      <w:pPr>
        <w:spacing w:after="60" w:before="0" w:line="312"/>
        <w:ind w:left="480" w:hanging="480"/>
      </w:pPr>
      <w:r>
        <w:rPr>
          <w:rFonts w:ascii="宋体" w:cs="宋体" w:eastAsia="宋体" w:hAnsi="宋体"/>
          <w:sz w:val="21"/>
          <w:szCs w:val="21"/>
        </w:rPr>
        <w:t xml:space="preserve">[28]</w:t>
      </w:r>
    </w:p>
    <w:p>
      <w:pPr>
        <w:spacing w:after="120" w:before="0" w:line="280"/>
        <w:ind w:left="480"/>
      </w:pPr>
      <w:r>
        <w:rPr>
          <w:sz w:val="18"/>
          <w:szCs w:val="18"/>
        </w:rPr>
        <w:t xml:space="preserve">@article{hou2024lora,
  author  = {侯云鹏 and 彭涵 and 刘育晖},
  title   = {基于LoRA模型的非遗数字化传承：以楚漆器为例},
  journal = {设计艺术研究},
  year    = {2024},
  volume  = {14},
  number  = {1},
  pages   = {14--18}
}</w:t>
      </w:r>
    </w:p>
    <w:p>
      <w:pPr>
        <w:spacing w:after="60" w:before="0" w:line="312"/>
        <w:ind w:left="480" w:hanging="480"/>
      </w:pPr>
      <w:r>
        <w:rPr>
          <w:rFonts w:ascii="宋体" w:cs="宋体" w:eastAsia="宋体" w:hAnsi="宋体"/>
          <w:sz w:val="21"/>
          <w:szCs w:val="21"/>
        </w:rPr>
        <w:t xml:space="preserve">[29]</w:t>
      </w:r>
    </w:p>
    <w:p>
      <w:pPr>
        <w:spacing w:after="120" w:before="0" w:line="280"/>
        <w:ind w:left="480"/>
      </w:pPr>
      <w:r>
        <w:rPr>
          <w:sz w:val="18"/>
          <w:szCs w:val="18"/>
        </w:rPr>
        <w:t xml:space="preserve">@book{hayles1999posthuman,
  author    = {Hayles, N. Katherine},
  title     = {How We Became Posthuman: Virtual Bodies in Cybernetics, Literature, and Informatics},
  publisher = {University of Chicago Press},
  year      = {1999}
}</w:t>
      </w:r>
    </w:p>
    <w:p>
      <w:pPr>
        <w:spacing w:after="60" w:before="0" w:line="312"/>
        <w:ind w:left="480" w:hanging="480"/>
      </w:pPr>
      <w:r>
        <w:rPr>
          <w:rFonts w:ascii="宋体" w:cs="宋体" w:eastAsia="宋体" w:hAnsi="宋体"/>
          <w:sz w:val="21"/>
          <w:szCs w:val="21"/>
        </w:rPr>
        <w:t xml:space="preserve">[30]</w:t>
      </w:r>
    </w:p>
    <w:p>
      <w:pPr>
        <w:spacing w:after="120" w:before="0" w:line="280"/>
        <w:ind w:left="480"/>
      </w:pPr>
      <w:r>
        <w:rPr>
          <w:sz w:val="18"/>
          <w:szCs w:val="18"/>
        </w:rPr>
        <w:t xml:space="preserve">@article{birkhoff1933aesthetic,
  author  = {Birkhoff, George David},
  title   = {Aesthetic Measure},
  journal = {Harvard University Press},
  year    = {1933}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cs="宋体" w:eastAsia="宋体" w:hAnsi="宋体"/>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宋体" w:cs="宋体" w:eastAsia="宋体" w:hAnsi="宋体"/>
      <w:b/>
      <w:bCs/>
      <w:sz w:val="32"/>
      <w:szCs w:val="32"/>
    </w:rPr>
  </w:style>
  <w:style w:type="paragraph" w:styleId="Heading2">
    <w:name w:val="Heading 2"/>
    <w:basedOn w:val="Normal"/>
    <w:next w:val="Normal"/>
    <w:qFormat/>
    <w:pPr>
      <w:spacing w:after="160" w:before="280"/>
      <w:outlineLvl w:val="1"/>
    </w:pPr>
    <w:rPr>
      <w:rFonts w:ascii="宋体" w:cs="宋体" w:eastAsia="宋体" w:hAnsi="宋体"/>
      <w:b/>
      <w:bCs/>
      <w:sz w:val="28"/>
      <w:szCs w:val="28"/>
    </w:rPr>
  </w:style>
  <w:style w:type="paragraph" w:styleId="Heading3">
    <w:name w:val="Heading 3"/>
    <w:basedOn w:val="Normal"/>
    <w:next w:val="Normal"/>
    <w:qFormat/>
    <w:pPr>
      <w:spacing w:after="120" w:before="220"/>
      <w:outlineLvl w:val="2"/>
    </w:pPr>
    <w:rPr>
      <w:rFonts w:ascii="宋体" w:cs="宋体" w:eastAsia="宋体" w:hAnsi="宋体"/>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2026-07-17T04:40:27.563Z</dcterms:created>
  <dcterms:modified xsi:type="dcterms:W3CDTF">2026-07-17T04:40:27.564Z</dcterms:modified>
</cp:coreProperties>
</file>

<file path=docProps/custom.xml><?xml version="1.0" encoding="utf-8"?>
<Properties xmlns="http://schemas.openxmlformats.org/officeDocument/2006/custom-properties" xmlns:vt="http://schemas.openxmlformats.org/officeDocument/2006/docPropsVTypes"/>
</file>